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2F8" w:rsidRPr="00BA02F8" w:rsidRDefault="004C5C12" w:rsidP="00BA02F8">
      <w:pPr>
        <w:autoSpaceDE w:val="0"/>
        <w:autoSpaceDN w:val="0"/>
        <w:adjustRightInd w:val="0"/>
        <w:jc w:val="righ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</w:t>
      </w:r>
      <w:bookmarkStart w:id="0" w:name="_GoBack"/>
      <w:bookmarkEnd w:id="0"/>
      <w:r w:rsidR="00BA02F8" w:rsidRPr="00BA02F8">
        <w:rPr>
          <w:rFonts w:ascii="Garamond" w:hAnsi="Garamond"/>
          <w:sz w:val="22"/>
          <w:szCs w:val="22"/>
        </w:rPr>
        <w:t>Załącznik nr 1 do decyzji</w:t>
      </w:r>
    </w:p>
    <w:p w:rsidR="00BA02F8" w:rsidRPr="00BA02F8" w:rsidRDefault="00BA02F8" w:rsidP="00BA02F8">
      <w:pPr>
        <w:autoSpaceDE w:val="0"/>
        <w:autoSpaceDN w:val="0"/>
        <w:adjustRightInd w:val="0"/>
        <w:jc w:val="right"/>
        <w:rPr>
          <w:rFonts w:ascii="Garamond" w:hAnsi="Garamond"/>
          <w:sz w:val="22"/>
          <w:szCs w:val="22"/>
        </w:rPr>
      </w:pPr>
      <w:r w:rsidRPr="00BA02F8">
        <w:rPr>
          <w:rFonts w:ascii="Garamond" w:hAnsi="Garamond"/>
          <w:sz w:val="22"/>
          <w:szCs w:val="22"/>
        </w:rPr>
        <w:t xml:space="preserve">Burmistrza Sędziszowa </w:t>
      </w:r>
    </w:p>
    <w:p w:rsidR="00BA02F8" w:rsidRPr="00BA02F8" w:rsidRDefault="00BA02F8" w:rsidP="00BA02F8">
      <w:pPr>
        <w:autoSpaceDE w:val="0"/>
        <w:autoSpaceDN w:val="0"/>
        <w:adjustRightInd w:val="0"/>
        <w:jc w:val="right"/>
        <w:rPr>
          <w:rFonts w:ascii="Garamond" w:hAnsi="Garamond"/>
          <w:sz w:val="22"/>
          <w:szCs w:val="22"/>
        </w:rPr>
      </w:pPr>
      <w:r w:rsidRPr="00BA02F8">
        <w:rPr>
          <w:rFonts w:ascii="Garamond" w:hAnsi="Garamond"/>
          <w:sz w:val="22"/>
          <w:szCs w:val="22"/>
        </w:rPr>
        <w:t xml:space="preserve">z dnia </w:t>
      </w:r>
      <w:r w:rsidR="00B70FA0">
        <w:rPr>
          <w:rFonts w:ascii="Garamond" w:hAnsi="Garamond"/>
          <w:sz w:val="22"/>
          <w:szCs w:val="22"/>
        </w:rPr>
        <w:t>18</w:t>
      </w:r>
      <w:r w:rsidR="000226FA">
        <w:rPr>
          <w:rFonts w:ascii="Garamond" w:hAnsi="Garamond"/>
          <w:sz w:val="22"/>
          <w:szCs w:val="22"/>
        </w:rPr>
        <w:t>.0</w:t>
      </w:r>
      <w:r w:rsidR="00B70FA0">
        <w:rPr>
          <w:rFonts w:ascii="Garamond" w:hAnsi="Garamond"/>
          <w:sz w:val="22"/>
          <w:szCs w:val="22"/>
        </w:rPr>
        <w:t>1</w:t>
      </w:r>
      <w:r w:rsidR="000226FA">
        <w:rPr>
          <w:rFonts w:ascii="Garamond" w:hAnsi="Garamond"/>
          <w:sz w:val="22"/>
          <w:szCs w:val="22"/>
        </w:rPr>
        <w:t>.</w:t>
      </w:r>
      <w:r w:rsidRPr="00BA02F8">
        <w:rPr>
          <w:rFonts w:ascii="Garamond" w:hAnsi="Garamond"/>
          <w:sz w:val="22"/>
          <w:szCs w:val="22"/>
        </w:rPr>
        <w:t>20</w:t>
      </w:r>
      <w:r w:rsidR="00B70FA0">
        <w:rPr>
          <w:rFonts w:ascii="Garamond" w:hAnsi="Garamond"/>
          <w:sz w:val="22"/>
          <w:szCs w:val="22"/>
        </w:rPr>
        <w:t xml:space="preserve">23 </w:t>
      </w:r>
      <w:r w:rsidRPr="00BA02F8">
        <w:rPr>
          <w:rFonts w:ascii="Garamond" w:hAnsi="Garamond"/>
          <w:sz w:val="22"/>
          <w:szCs w:val="22"/>
        </w:rPr>
        <w:t>r .</w:t>
      </w:r>
    </w:p>
    <w:p w:rsidR="00BA02F8" w:rsidRPr="00BA02F8" w:rsidRDefault="00BA02F8" w:rsidP="00BA02F8">
      <w:pPr>
        <w:autoSpaceDE w:val="0"/>
        <w:autoSpaceDN w:val="0"/>
        <w:adjustRightInd w:val="0"/>
        <w:jc w:val="right"/>
        <w:rPr>
          <w:rFonts w:ascii="Garamond" w:hAnsi="Garamond"/>
          <w:sz w:val="22"/>
          <w:szCs w:val="22"/>
        </w:rPr>
      </w:pPr>
      <w:r w:rsidRPr="00BA02F8">
        <w:rPr>
          <w:rFonts w:ascii="Garamond" w:hAnsi="Garamond"/>
          <w:sz w:val="22"/>
          <w:szCs w:val="22"/>
        </w:rPr>
        <w:t>nr OŚ.6220.</w:t>
      </w:r>
      <w:r w:rsidR="00B70FA0">
        <w:rPr>
          <w:rFonts w:ascii="Garamond" w:hAnsi="Garamond"/>
          <w:sz w:val="22"/>
          <w:szCs w:val="22"/>
        </w:rPr>
        <w:t>1</w:t>
      </w:r>
      <w:r w:rsidR="000226FA">
        <w:rPr>
          <w:rFonts w:ascii="Garamond" w:hAnsi="Garamond"/>
          <w:sz w:val="22"/>
          <w:szCs w:val="22"/>
        </w:rPr>
        <w:t>.1</w:t>
      </w:r>
      <w:r w:rsidR="00B70FA0">
        <w:rPr>
          <w:rFonts w:ascii="Garamond" w:hAnsi="Garamond"/>
          <w:sz w:val="22"/>
          <w:szCs w:val="22"/>
        </w:rPr>
        <w:t>1</w:t>
      </w:r>
      <w:r w:rsidR="000226FA">
        <w:rPr>
          <w:rFonts w:ascii="Garamond" w:hAnsi="Garamond"/>
          <w:sz w:val="22"/>
          <w:szCs w:val="22"/>
        </w:rPr>
        <w:t>.</w:t>
      </w:r>
      <w:r w:rsidRPr="00BA02F8">
        <w:rPr>
          <w:rFonts w:ascii="Garamond" w:hAnsi="Garamond"/>
          <w:sz w:val="22"/>
          <w:szCs w:val="22"/>
        </w:rPr>
        <w:t>20</w:t>
      </w:r>
      <w:r w:rsidR="00B70FA0">
        <w:rPr>
          <w:rFonts w:ascii="Garamond" w:hAnsi="Garamond"/>
          <w:sz w:val="22"/>
          <w:szCs w:val="22"/>
        </w:rPr>
        <w:t>22</w:t>
      </w:r>
    </w:p>
    <w:p w:rsidR="00BA02F8" w:rsidRPr="00BA02F8" w:rsidRDefault="00BA02F8" w:rsidP="00BA02F8">
      <w:pPr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</w:p>
    <w:p w:rsidR="00BA02F8" w:rsidRPr="00BA02F8" w:rsidRDefault="00BA02F8" w:rsidP="00BA02F8">
      <w:pPr>
        <w:autoSpaceDE w:val="0"/>
        <w:autoSpaceDN w:val="0"/>
        <w:adjustRightInd w:val="0"/>
        <w:jc w:val="center"/>
        <w:rPr>
          <w:rFonts w:ascii="Garamond" w:hAnsi="Garamond"/>
          <w:b/>
          <w:sz w:val="22"/>
          <w:szCs w:val="22"/>
          <w:u w:val="single"/>
        </w:rPr>
      </w:pPr>
      <w:r w:rsidRPr="00BA02F8">
        <w:rPr>
          <w:rFonts w:ascii="Garamond" w:hAnsi="Garamond"/>
          <w:b/>
          <w:sz w:val="22"/>
          <w:szCs w:val="22"/>
          <w:u w:val="single"/>
        </w:rPr>
        <w:t>Charakterystyka przedsięwzięcia</w:t>
      </w:r>
    </w:p>
    <w:p w:rsidR="00BA02F8" w:rsidRPr="00BA02F8" w:rsidRDefault="00BA02F8" w:rsidP="00BA02F8">
      <w:pPr>
        <w:autoSpaceDE w:val="0"/>
        <w:autoSpaceDN w:val="0"/>
        <w:adjustRightInd w:val="0"/>
        <w:jc w:val="center"/>
        <w:rPr>
          <w:rFonts w:ascii="Garamond" w:hAnsi="Garamond"/>
          <w:b/>
          <w:sz w:val="22"/>
          <w:szCs w:val="22"/>
          <w:u w:val="single"/>
        </w:rPr>
      </w:pPr>
    </w:p>
    <w:p w:rsidR="00BA02F8" w:rsidRPr="00AD5EF9" w:rsidRDefault="00BA02F8" w:rsidP="00BA02F8">
      <w:pPr>
        <w:pStyle w:val="Tekstpodstawowy"/>
        <w:widowControl w:val="0"/>
        <w:spacing w:after="120" w:line="276" w:lineRule="auto"/>
        <w:jc w:val="both"/>
        <w:rPr>
          <w:sz w:val="22"/>
          <w:szCs w:val="22"/>
        </w:rPr>
      </w:pPr>
      <w:r w:rsidRPr="001D1355">
        <w:rPr>
          <w:sz w:val="22"/>
          <w:szCs w:val="22"/>
        </w:rPr>
        <w:t xml:space="preserve">pod nazwą: </w:t>
      </w:r>
      <w:r w:rsidR="00B70FA0" w:rsidRPr="00B70FA0">
        <w:rPr>
          <w:b/>
          <w:sz w:val="22"/>
          <w:szCs w:val="22"/>
        </w:rPr>
        <w:t>„ROZBUDOWA ZAKŁADU PALKO SP. Z O.O. W M. GNIEWIĘCIN, GM. SĘDZISZÓW”</w:t>
      </w:r>
      <w:r>
        <w:rPr>
          <w:b/>
          <w:sz w:val="22"/>
          <w:szCs w:val="22"/>
        </w:rPr>
        <w:t>,</w:t>
      </w:r>
      <w:r w:rsidRPr="001D1355">
        <w:rPr>
          <w:sz w:val="22"/>
          <w:szCs w:val="22"/>
        </w:rPr>
        <w:t xml:space="preserve"> realizowanego przez </w:t>
      </w:r>
      <w:r w:rsidR="00B70FA0">
        <w:rPr>
          <w:sz w:val="22"/>
          <w:szCs w:val="22"/>
        </w:rPr>
        <w:t>Palko Sp. z o.o.</w:t>
      </w:r>
      <w:r>
        <w:rPr>
          <w:sz w:val="22"/>
          <w:szCs w:val="22"/>
        </w:rPr>
        <w:t xml:space="preserve">, </w:t>
      </w:r>
      <w:r w:rsidR="00B70FA0" w:rsidRPr="00B70FA0">
        <w:rPr>
          <w:sz w:val="22"/>
          <w:szCs w:val="22"/>
        </w:rPr>
        <w:t>Gniewięcin 190, 28-340 Sędziszów</w:t>
      </w:r>
      <w:r w:rsidRPr="001D1355">
        <w:rPr>
          <w:sz w:val="22"/>
          <w:szCs w:val="22"/>
        </w:rPr>
        <w:t>.</w:t>
      </w:r>
    </w:p>
    <w:p w:rsidR="00BA02F8" w:rsidRPr="00BA02F8" w:rsidRDefault="00BA02F8" w:rsidP="00BA02F8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:rsidR="00B70FA0" w:rsidRPr="008B1B40" w:rsidRDefault="00B70FA0" w:rsidP="00B70FA0">
      <w:pPr>
        <w:jc w:val="both"/>
        <w:rPr>
          <w:rFonts w:ascii="Garamond" w:eastAsia="Times New Roman" w:hAnsi="Garamond"/>
          <w:bCs/>
          <w:sz w:val="22"/>
          <w:szCs w:val="22"/>
        </w:rPr>
      </w:pPr>
      <w:r w:rsidRPr="008B1B40">
        <w:rPr>
          <w:rFonts w:ascii="Garamond" w:eastAsia="Times New Roman" w:hAnsi="Garamond"/>
          <w:bCs/>
          <w:sz w:val="22"/>
          <w:szCs w:val="22"/>
        </w:rPr>
        <w:t xml:space="preserve">Przedmiotem przedsięwzięcia jest rozbudowa zakładu PALKO Sp. z o. o. w miejscowości Gniewięcin, gmina Sędziszów, planowanego do realizacji na działkach o numerach 863/1, 863/2, 863/4, 863/5, 863/6. Całkowita powierzchnia ww. działek wynosi ok. 10,1 ha. </w:t>
      </w:r>
    </w:p>
    <w:p w:rsidR="00B70FA0" w:rsidRPr="008B1B40" w:rsidRDefault="00B70FA0" w:rsidP="00B70FA0">
      <w:pPr>
        <w:jc w:val="both"/>
        <w:rPr>
          <w:rFonts w:ascii="Garamond" w:eastAsia="Times New Roman" w:hAnsi="Garamond"/>
          <w:bCs/>
          <w:sz w:val="22"/>
          <w:szCs w:val="22"/>
        </w:rPr>
      </w:pPr>
      <w:r w:rsidRPr="008B1B40">
        <w:rPr>
          <w:rFonts w:ascii="Garamond" w:eastAsia="Times New Roman" w:hAnsi="Garamond"/>
          <w:bCs/>
          <w:sz w:val="22"/>
          <w:szCs w:val="22"/>
        </w:rPr>
        <w:t xml:space="preserve">Zgodnie z wypisem z ewidencji gruntów działki inwestycyjne stanowią teren przemysłowy oznaczony symbolem Ba, poza częścią – ok. 0,33 ha działki nr 863/6 oznaczoną symbolem Bi – inne tereny zabudowane. </w:t>
      </w:r>
    </w:p>
    <w:p w:rsidR="00B70FA0" w:rsidRPr="008B1B40" w:rsidRDefault="00B70FA0" w:rsidP="00B70FA0">
      <w:pPr>
        <w:jc w:val="both"/>
        <w:rPr>
          <w:rFonts w:ascii="Garamond" w:eastAsia="Times New Roman" w:hAnsi="Garamond"/>
          <w:bCs/>
          <w:sz w:val="22"/>
          <w:szCs w:val="22"/>
        </w:rPr>
      </w:pPr>
      <w:r w:rsidRPr="008B1B40">
        <w:rPr>
          <w:rFonts w:ascii="Garamond" w:eastAsia="Times New Roman" w:hAnsi="Garamond"/>
          <w:bCs/>
          <w:sz w:val="22"/>
          <w:szCs w:val="22"/>
        </w:rPr>
        <w:t xml:space="preserve">Dla terenu przedmiotowej inwestycji obowiązują ustalenia miejscowego planu zagospodarowania przestrzennego przyjętego Uchwałą nr III/10/2010 Rady Miejskiej w Sędziszowie z dnia 30 grudnia 2010 r. w sprawie miejscowego planu zagospodarowania przestrzennego miasta Sędziszów (Dz. Urz. Woj. </w:t>
      </w:r>
      <w:proofErr w:type="spellStart"/>
      <w:r w:rsidRPr="008B1B40">
        <w:rPr>
          <w:rFonts w:ascii="Garamond" w:eastAsia="Times New Roman" w:hAnsi="Garamond"/>
          <w:bCs/>
          <w:sz w:val="22"/>
          <w:szCs w:val="22"/>
        </w:rPr>
        <w:t>Święt</w:t>
      </w:r>
      <w:proofErr w:type="spellEnd"/>
      <w:r w:rsidRPr="008B1B40">
        <w:rPr>
          <w:rFonts w:ascii="Garamond" w:eastAsia="Times New Roman" w:hAnsi="Garamond"/>
          <w:bCs/>
          <w:sz w:val="22"/>
          <w:szCs w:val="22"/>
        </w:rPr>
        <w:t xml:space="preserve">. z dnia 7 marca 2011 r., Nr 58, poz. 681) wraz z późniejszymi zmianami , tj. Uchwała 3 </w:t>
      </w:r>
      <w:r>
        <w:rPr>
          <w:rFonts w:ascii="Garamond" w:eastAsia="Times New Roman" w:hAnsi="Garamond"/>
          <w:bCs/>
          <w:sz w:val="22"/>
          <w:szCs w:val="22"/>
        </w:rPr>
        <w:t>nr VI/34/2011 z </w:t>
      </w:r>
      <w:r w:rsidRPr="008B1B40">
        <w:rPr>
          <w:rFonts w:ascii="Garamond" w:eastAsia="Times New Roman" w:hAnsi="Garamond"/>
          <w:bCs/>
          <w:sz w:val="22"/>
          <w:szCs w:val="22"/>
        </w:rPr>
        <w:t>dnia 4 marca 2011 r., Uchwała nr XXXII/233/2013 z dnia 27 marca 2013 r. oraz Uchwała nr XXVII/223/2020 z dnia 29 września 2020 r. Działki inwestycyjne oznaczone są w ww. planie symbolem P1 – tereny obiektów produkcyjnych, składów i magazynów.</w:t>
      </w:r>
    </w:p>
    <w:p w:rsidR="00B70FA0" w:rsidRPr="008B1B40" w:rsidRDefault="00B70FA0" w:rsidP="00B70FA0">
      <w:pPr>
        <w:jc w:val="both"/>
        <w:rPr>
          <w:rFonts w:ascii="Garamond" w:eastAsia="Times New Roman" w:hAnsi="Garamond"/>
          <w:bCs/>
          <w:sz w:val="22"/>
          <w:szCs w:val="22"/>
        </w:rPr>
      </w:pPr>
      <w:r w:rsidRPr="008B1B40">
        <w:rPr>
          <w:rFonts w:ascii="Garamond" w:eastAsia="Times New Roman" w:hAnsi="Garamond"/>
          <w:bCs/>
          <w:sz w:val="22"/>
          <w:szCs w:val="22"/>
        </w:rPr>
        <w:t>W bezpośrednim sąsiedztwie działek inwestycyjnych, zgodnie z ww. planem, znajdują się:</w:t>
      </w:r>
    </w:p>
    <w:p w:rsidR="00B70FA0" w:rsidRPr="008B1B40" w:rsidRDefault="00B70FA0" w:rsidP="00B70FA0">
      <w:pPr>
        <w:jc w:val="both"/>
        <w:rPr>
          <w:rFonts w:ascii="Garamond" w:eastAsia="Times New Roman" w:hAnsi="Garamond"/>
          <w:bCs/>
          <w:sz w:val="22"/>
          <w:szCs w:val="22"/>
        </w:rPr>
      </w:pPr>
      <w:r w:rsidRPr="008B1B40">
        <w:rPr>
          <w:rFonts w:ascii="Garamond" w:eastAsia="Times New Roman" w:hAnsi="Garamond"/>
          <w:bCs/>
          <w:sz w:val="22"/>
          <w:szCs w:val="22"/>
        </w:rPr>
        <w:t>- od strony północnej i zachodniej – tereny oznaczone symbolem P1 – tereny obiektów produkcyjnych, składów i magazynów,</w:t>
      </w:r>
    </w:p>
    <w:p w:rsidR="00B70FA0" w:rsidRPr="008B1B40" w:rsidRDefault="00B70FA0" w:rsidP="00B70FA0">
      <w:pPr>
        <w:jc w:val="both"/>
        <w:rPr>
          <w:rFonts w:ascii="Garamond" w:eastAsia="Times New Roman" w:hAnsi="Garamond"/>
          <w:bCs/>
          <w:sz w:val="22"/>
          <w:szCs w:val="22"/>
        </w:rPr>
      </w:pPr>
      <w:r w:rsidRPr="008B1B40">
        <w:rPr>
          <w:rFonts w:ascii="Garamond" w:eastAsia="Times New Roman" w:hAnsi="Garamond"/>
          <w:bCs/>
          <w:sz w:val="22"/>
          <w:szCs w:val="22"/>
        </w:rPr>
        <w:t>- od strony południowej – tereny oznaczone symbolem R – tereny rolnicze,</w:t>
      </w:r>
    </w:p>
    <w:p w:rsidR="00B70FA0" w:rsidRPr="008B1B40" w:rsidRDefault="00B70FA0" w:rsidP="00B70FA0">
      <w:pPr>
        <w:jc w:val="both"/>
        <w:rPr>
          <w:rFonts w:ascii="Garamond" w:eastAsia="Times New Roman" w:hAnsi="Garamond"/>
          <w:bCs/>
          <w:sz w:val="22"/>
          <w:szCs w:val="22"/>
        </w:rPr>
      </w:pPr>
      <w:r w:rsidRPr="008B1B40">
        <w:rPr>
          <w:rFonts w:ascii="Garamond" w:eastAsia="Times New Roman" w:hAnsi="Garamond"/>
          <w:bCs/>
          <w:sz w:val="22"/>
          <w:szCs w:val="22"/>
        </w:rPr>
        <w:t xml:space="preserve">- od strony wschodniej – tereny oznaczone symbolem KDW – tereny komunikacji drogowej, drogi </w:t>
      </w:r>
    </w:p>
    <w:p w:rsidR="00B70FA0" w:rsidRPr="008B1B40" w:rsidRDefault="00B70FA0" w:rsidP="00B70FA0">
      <w:pPr>
        <w:jc w:val="both"/>
        <w:rPr>
          <w:rFonts w:ascii="Garamond" w:eastAsia="Times New Roman" w:hAnsi="Garamond"/>
          <w:bCs/>
          <w:sz w:val="22"/>
          <w:szCs w:val="22"/>
        </w:rPr>
      </w:pPr>
      <w:r w:rsidRPr="008B1B40">
        <w:rPr>
          <w:rFonts w:ascii="Garamond" w:eastAsia="Times New Roman" w:hAnsi="Garamond"/>
          <w:bCs/>
          <w:sz w:val="22"/>
          <w:szCs w:val="22"/>
        </w:rPr>
        <w:t>wewnętrzne, dalej tereny KK – tereny komunikacji kolejowej, a za nimi tereny MNR – tereny zabudowy mieszkaniowej jednorodzinnej i zagrodowej oraz R – tereny rolnicze.</w:t>
      </w:r>
    </w:p>
    <w:p w:rsidR="00B70FA0" w:rsidRPr="008B1B40" w:rsidRDefault="00B70FA0" w:rsidP="00B70FA0">
      <w:pPr>
        <w:jc w:val="both"/>
        <w:rPr>
          <w:rFonts w:ascii="Garamond" w:eastAsia="Times New Roman" w:hAnsi="Garamond"/>
          <w:bCs/>
          <w:sz w:val="22"/>
          <w:szCs w:val="22"/>
        </w:rPr>
      </w:pPr>
      <w:r w:rsidRPr="008B1B40">
        <w:rPr>
          <w:rFonts w:ascii="Garamond" w:eastAsia="Times New Roman" w:hAnsi="Garamond"/>
          <w:bCs/>
          <w:sz w:val="22"/>
          <w:szCs w:val="22"/>
        </w:rPr>
        <w:t>Wjazd na teren działek inwestycyjnych odbywa się od strony wschodniej.</w:t>
      </w:r>
    </w:p>
    <w:p w:rsidR="00B70FA0" w:rsidRPr="008B1B40" w:rsidRDefault="00B70FA0" w:rsidP="00B70FA0">
      <w:pPr>
        <w:jc w:val="both"/>
        <w:rPr>
          <w:rFonts w:ascii="Garamond" w:eastAsia="Times New Roman" w:hAnsi="Garamond"/>
          <w:bCs/>
          <w:sz w:val="22"/>
          <w:szCs w:val="22"/>
        </w:rPr>
      </w:pPr>
      <w:r w:rsidRPr="008B1B40">
        <w:rPr>
          <w:rFonts w:ascii="Garamond" w:eastAsia="Times New Roman" w:hAnsi="Garamond"/>
          <w:bCs/>
          <w:sz w:val="22"/>
          <w:szCs w:val="22"/>
        </w:rPr>
        <w:t>Najbliższe tereny chronione akustycznie względem terenu przedsięwzięcia zlokalizowane są w kierunku wschodnim w odległości ok. 140 m i zgodnie z obowiązującym miejscowym planem zagospodarowania przestrzennego oznaczone są symbolem MNR – tereny zabudowy</w:t>
      </w:r>
      <w:r>
        <w:rPr>
          <w:rFonts w:ascii="Garamond" w:eastAsia="Times New Roman" w:hAnsi="Garamond"/>
          <w:bCs/>
          <w:sz w:val="22"/>
          <w:szCs w:val="22"/>
        </w:rPr>
        <w:t xml:space="preserve"> mieszkaniowej jednorodzinnej i </w:t>
      </w:r>
      <w:r w:rsidRPr="008B1B40">
        <w:rPr>
          <w:rFonts w:ascii="Garamond" w:eastAsia="Times New Roman" w:hAnsi="Garamond"/>
          <w:bCs/>
          <w:sz w:val="22"/>
          <w:szCs w:val="22"/>
        </w:rPr>
        <w:t xml:space="preserve">zagrodowej. </w:t>
      </w:r>
    </w:p>
    <w:p w:rsidR="00B70FA0" w:rsidRPr="008B1B40" w:rsidRDefault="00B70FA0" w:rsidP="00B70FA0">
      <w:pPr>
        <w:jc w:val="both"/>
        <w:rPr>
          <w:rFonts w:ascii="Garamond" w:eastAsia="Times New Roman" w:hAnsi="Garamond"/>
          <w:bCs/>
          <w:sz w:val="22"/>
          <w:szCs w:val="22"/>
        </w:rPr>
      </w:pPr>
      <w:r w:rsidRPr="008B1B40">
        <w:rPr>
          <w:rFonts w:ascii="Garamond" w:eastAsia="Times New Roman" w:hAnsi="Garamond"/>
          <w:bCs/>
          <w:sz w:val="22"/>
          <w:szCs w:val="22"/>
        </w:rPr>
        <w:t>Zakres zamierzenia obejmuje budowę:</w:t>
      </w:r>
    </w:p>
    <w:p w:rsidR="00B70FA0" w:rsidRPr="008B1B40" w:rsidRDefault="00B70FA0" w:rsidP="00B70FA0">
      <w:pPr>
        <w:numPr>
          <w:ilvl w:val="0"/>
          <w:numId w:val="4"/>
        </w:numPr>
        <w:ind w:left="426"/>
        <w:jc w:val="both"/>
        <w:rPr>
          <w:rFonts w:ascii="Garamond" w:eastAsia="Times New Roman" w:hAnsi="Garamond"/>
          <w:bCs/>
          <w:sz w:val="22"/>
          <w:szCs w:val="22"/>
        </w:rPr>
      </w:pPr>
      <w:r w:rsidRPr="008B1B40">
        <w:rPr>
          <w:rFonts w:ascii="Garamond" w:eastAsia="Times New Roman" w:hAnsi="Garamond"/>
          <w:bCs/>
          <w:sz w:val="22"/>
          <w:szCs w:val="22"/>
        </w:rPr>
        <w:t>trzykomorowej suszarni drewna o powierzchni zabudowy ok. 310 m</w:t>
      </w:r>
      <w:r w:rsidRPr="003C5512">
        <w:rPr>
          <w:rFonts w:ascii="Garamond" w:eastAsia="Times New Roman" w:hAnsi="Garamond"/>
          <w:bCs/>
          <w:sz w:val="22"/>
          <w:szCs w:val="22"/>
          <w:vertAlign w:val="superscript"/>
        </w:rPr>
        <w:t>2</w:t>
      </w:r>
      <w:r w:rsidRPr="008B1B40">
        <w:rPr>
          <w:rFonts w:ascii="Garamond" w:eastAsia="Times New Roman" w:hAnsi="Garamond"/>
          <w:bCs/>
          <w:sz w:val="22"/>
          <w:szCs w:val="22"/>
        </w:rPr>
        <w:t xml:space="preserve"> na działce nr 863/1,</w:t>
      </w:r>
    </w:p>
    <w:p w:rsidR="00B70FA0" w:rsidRPr="008B1B40" w:rsidRDefault="00B70FA0" w:rsidP="00B70FA0">
      <w:pPr>
        <w:numPr>
          <w:ilvl w:val="0"/>
          <w:numId w:val="4"/>
        </w:numPr>
        <w:ind w:left="426"/>
        <w:jc w:val="both"/>
        <w:rPr>
          <w:rFonts w:ascii="Garamond" w:eastAsia="Times New Roman" w:hAnsi="Garamond"/>
          <w:bCs/>
          <w:sz w:val="22"/>
          <w:szCs w:val="22"/>
        </w:rPr>
      </w:pPr>
      <w:r w:rsidRPr="008B1B40">
        <w:rPr>
          <w:rFonts w:ascii="Garamond" w:eastAsia="Times New Roman" w:hAnsi="Garamond"/>
          <w:bCs/>
          <w:sz w:val="22"/>
          <w:szCs w:val="22"/>
        </w:rPr>
        <w:t>dwóch wiat na palety o powierzchni zabudowy ok. 2000 m</w:t>
      </w:r>
      <w:r w:rsidRPr="003C5512">
        <w:rPr>
          <w:rFonts w:ascii="Garamond" w:eastAsia="Times New Roman" w:hAnsi="Garamond"/>
          <w:bCs/>
          <w:sz w:val="22"/>
          <w:szCs w:val="22"/>
          <w:vertAlign w:val="superscript"/>
        </w:rPr>
        <w:t>2</w:t>
      </w:r>
      <w:r w:rsidRPr="008B1B40">
        <w:rPr>
          <w:rFonts w:ascii="Garamond" w:eastAsia="Times New Roman" w:hAnsi="Garamond"/>
          <w:bCs/>
          <w:sz w:val="22"/>
          <w:szCs w:val="22"/>
        </w:rPr>
        <w:t xml:space="preserve"> każda, rozdzielonych od siebie ścianą ogniową, z dokami załadunkowymi, na działce nr 863/1,</w:t>
      </w:r>
    </w:p>
    <w:p w:rsidR="00B70FA0" w:rsidRPr="008B1B40" w:rsidRDefault="00B70FA0" w:rsidP="00B70FA0">
      <w:pPr>
        <w:numPr>
          <w:ilvl w:val="0"/>
          <w:numId w:val="3"/>
        </w:numPr>
        <w:ind w:left="426"/>
        <w:jc w:val="both"/>
        <w:rPr>
          <w:rFonts w:ascii="Garamond" w:eastAsia="Times New Roman" w:hAnsi="Garamond"/>
          <w:bCs/>
          <w:sz w:val="22"/>
          <w:szCs w:val="22"/>
        </w:rPr>
      </w:pPr>
      <w:r w:rsidRPr="008B1B40">
        <w:rPr>
          <w:rFonts w:ascii="Garamond" w:eastAsia="Times New Roman" w:hAnsi="Garamond"/>
          <w:bCs/>
          <w:sz w:val="22"/>
          <w:szCs w:val="22"/>
        </w:rPr>
        <w:t>utwardzonych placów manewrowych oraz dróg dojazdowych o łącznej powierzchni ok. 4000 m</w:t>
      </w:r>
      <w:r w:rsidRPr="008B1B40">
        <w:rPr>
          <w:rFonts w:ascii="Garamond" w:eastAsia="Times New Roman" w:hAnsi="Garamond"/>
          <w:bCs/>
          <w:sz w:val="22"/>
          <w:szCs w:val="22"/>
          <w:vertAlign w:val="superscript"/>
        </w:rPr>
        <w:t>2</w:t>
      </w:r>
      <w:r w:rsidRPr="008B1B40">
        <w:rPr>
          <w:rFonts w:ascii="Garamond" w:eastAsia="Times New Roman" w:hAnsi="Garamond"/>
          <w:bCs/>
          <w:sz w:val="22"/>
          <w:szCs w:val="22"/>
        </w:rPr>
        <w:t>, na działce nr 863/1,</w:t>
      </w:r>
    </w:p>
    <w:p w:rsidR="00B70FA0" w:rsidRPr="008B1B40" w:rsidRDefault="00B70FA0" w:rsidP="00B70FA0">
      <w:pPr>
        <w:numPr>
          <w:ilvl w:val="0"/>
          <w:numId w:val="2"/>
        </w:numPr>
        <w:ind w:left="426"/>
        <w:jc w:val="both"/>
        <w:rPr>
          <w:rFonts w:ascii="Garamond" w:eastAsia="Times New Roman" w:hAnsi="Garamond"/>
          <w:bCs/>
          <w:sz w:val="22"/>
          <w:szCs w:val="22"/>
        </w:rPr>
      </w:pPr>
      <w:r w:rsidRPr="008B1B40">
        <w:rPr>
          <w:rFonts w:ascii="Garamond" w:eastAsia="Times New Roman" w:hAnsi="Garamond"/>
          <w:bCs/>
          <w:sz w:val="22"/>
          <w:szCs w:val="22"/>
        </w:rPr>
        <w:t>kotłowni z magazynem paliwa (biomasy) o powierzchnia zabudowy ok. 1000 m</w:t>
      </w:r>
      <w:r w:rsidRPr="008B1B40">
        <w:rPr>
          <w:rFonts w:ascii="Garamond" w:eastAsia="Times New Roman" w:hAnsi="Garamond"/>
          <w:bCs/>
          <w:sz w:val="22"/>
          <w:szCs w:val="22"/>
          <w:vertAlign w:val="superscript"/>
        </w:rPr>
        <w:t>2</w:t>
      </w:r>
      <w:r w:rsidRPr="008B1B40">
        <w:rPr>
          <w:rFonts w:ascii="Garamond" w:eastAsia="Times New Roman" w:hAnsi="Garamond"/>
          <w:bCs/>
          <w:sz w:val="22"/>
          <w:szCs w:val="22"/>
        </w:rPr>
        <w:t>, na działce nr 863/6.</w:t>
      </w:r>
    </w:p>
    <w:p w:rsidR="00B70FA0" w:rsidRPr="008B1B40" w:rsidRDefault="00B70FA0" w:rsidP="00B70FA0">
      <w:pPr>
        <w:jc w:val="both"/>
        <w:rPr>
          <w:rFonts w:ascii="Garamond" w:eastAsia="Times New Roman" w:hAnsi="Garamond"/>
          <w:bCs/>
          <w:sz w:val="22"/>
          <w:szCs w:val="22"/>
        </w:rPr>
      </w:pPr>
      <w:r w:rsidRPr="008B1B40">
        <w:rPr>
          <w:rFonts w:ascii="Garamond" w:eastAsia="Times New Roman" w:hAnsi="Garamond"/>
          <w:bCs/>
          <w:sz w:val="22"/>
          <w:szCs w:val="22"/>
        </w:rPr>
        <w:t>Działka nr 863/1 o powierzchni ok. 1,7 ha stanowi obecnie teren nieuży</w:t>
      </w:r>
      <w:r>
        <w:rPr>
          <w:rFonts w:ascii="Garamond" w:eastAsia="Times New Roman" w:hAnsi="Garamond"/>
          <w:bCs/>
          <w:sz w:val="22"/>
          <w:szCs w:val="22"/>
        </w:rPr>
        <w:t>tkowany, porośnięty drzewami. W </w:t>
      </w:r>
      <w:r w:rsidRPr="008B1B40">
        <w:rPr>
          <w:rFonts w:ascii="Garamond" w:eastAsia="Times New Roman" w:hAnsi="Garamond"/>
          <w:bCs/>
          <w:sz w:val="22"/>
          <w:szCs w:val="22"/>
        </w:rPr>
        <w:t>ramach przedsięwzięcia przewiduje się przekształcenie całej powierzchni działki. W ramach rozbudowy kotłowni planowany jest dodatkowy kocioł na biomasę o mocy znamionowej 6 MW (tj. 6,7 MW mocy cieplnej).</w:t>
      </w:r>
    </w:p>
    <w:p w:rsidR="00B70FA0" w:rsidRPr="008B1B40" w:rsidRDefault="00B70FA0" w:rsidP="00B70FA0">
      <w:pPr>
        <w:jc w:val="both"/>
        <w:rPr>
          <w:rFonts w:ascii="Garamond" w:eastAsia="Times New Roman" w:hAnsi="Garamond"/>
          <w:bCs/>
          <w:sz w:val="22"/>
          <w:szCs w:val="22"/>
        </w:rPr>
      </w:pPr>
      <w:r w:rsidRPr="008B1B40">
        <w:rPr>
          <w:rFonts w:ascii="Garamond" w:eastAsia="Times New Roman" w:hAnsi="Garamond"/>
          <w:bCs/>
          <w:sz w:val="22"/>
          <w:szCs w:val="22"/>
        </w:rPr>
        <w:t xml:space="preserve">Moc znamionowa dwóch istniejących kotłów na biomasę wynosi 1,5 MW i 3 MW, co odpowiada mocy cieplnej rozumianej jako ilość energii wprowadzonej w paliwie do instalacji w jednostce czasu przy nominalnym obciążeniu tych instalacji, odpowiednio 1,67 MW i 3,3 MW i łącznie daje 4,97 MW. </w:t>
      </w:r>
    </w:p>
    <w:p w:rsidR="00B70FA0" w:rsidRPr="008B1B40" w:rsidRDefault="00B70FA0" w:rsidP="00B70FA0">
      <w:pPr>
        <w:jc w:val="both"/>
        <w:rPr>
          <w:rFonts w:ascii="Garamond" w:eastAsia="Times New Roman" w:hAnsi="Garamond"/>
          <w:bCs/>
          <w:sz w:val="22"/>
          <w:szCs w:val="22"/>
        </w:rPr>
      </w:pPr>
      <w:r w:rsidRPr="008B1B40">
        <w:rPr>
          <w:rFonts w:ascii="Garamond" w:eastAsia="Times New Roman" w:hAnsi="Garamond"/>
          <w:bCs/>
          <w:sz w:val="22"/>
          <w:szCs w:val="22"/>
        </w:rPr>
        <w:t>Działalnością spółki jest produkcja opakowań drewnianych – palet.</w:t>
      </w:r>
    </w:p>
    <w:p w:rsidR="00B70FA0" w:rsidRPr="008B1B40" w:rsidRDefault="00B70FA0" w:rsidP="00B70FA0">
      <w:pPr>
        <w:jc w:val="both"/>
        <w:rPr>
          <w:rFonts w:ascii="Garamond" w:eastAsia="Times New Roman" w:hAnsi="Garamond"/>
          <w:bCs/>
          <w:sz w:val="22"/>
          <w:szCs w:val="22"/>
        </w:rPr>
      </w:pPr>
      <w:r w:rsidRPr="008B1B40">
        <w:rPr>
          <w:rFonts w:ascii="Garamond" w:eastAsia="Times New Roman" w:hAnsi="Garamond"/>
          <w:bCs/>
          <w:sz w:val="22"/>
          <w:szCs w:val="22"/>
        </w:rPr>
        <w:t xml:space="preserve">Surowiec do produkcji dostarczany jest w postaci desek, kantówki, klocka wiórowego i magazynowany na placu. W okresie od maja do września część materiału poddawana jest impregnacji (deski i kantówka są świeże - nie suszone). Następnie surowiec transportowany jest na halę. W większości przypadków surowiec jest gotowy pod wymiar i podawany na linie produkcyjne, na których następuje zbicie palet. </w:t>
      </w:r>
      <w:r>
        <w:rPr>
          <w:rFonts w:ascii="Garamond" w:eastAsia="Times New Roman" w:hAnsi="Garamond"/>
          <w:bCs/>
          <w:sz w:val="22"/>
          <w:szCs w:val="22"/>
        </w:rPr>
        <w:t>W </w:t>
      </w:r>
      <w:r w:rsidRPr="008B1B40">
        <w:rPr>
          <w:rFonts w:ascii="Garamond" w:eastAsia="Times New Roman" w:hAnsi="Garamond"/>
          <w:bCs/>
          <w:sz w:val="22"/>
          <w:szCs w:val="22"/>
        </w:rPr>
        <w:t>5% materiał jest dodatkowo obrabiany (frezowany, docinany, strugany) i następnie dostarczany na linię produkcyjną.</w:t>
      </w:r>
    </w:p>
    <w:p w:rsidR="00B70FA0" w:rsidRPr="008B1B40" w:rsidRDefault="00B70FA0" w:rsidP="00B70FA0">
      <w:pPr>
        <w:jc w:val="both"/>
        <w:rPr>
          <w:rFonts w:ascii="Garamond" w:eastAsia="Times New Roman" w:hAnsi="Garamond"/>
          <w:bCs/>
          <w:sz w:val="22"/>
          <w:szCs w:val="22"/>
        </w:rPr>
      </w:pPr>
      <w:r w:rsidRPr="008B1B40">
        <w:rPr>
          <w:rFonts w:ascii="Garamond" w:eastAsia="Times New Roman" w:hAnsi="Garamond"/>
          <w:bCs/>
          <w:sz w:val="22"/>
          <w:szCs w:val="22"/>
        </w:rPr>
        <w:lastRenderedPageBreak/>
        <w:t xml:space="preserve">Zbite palety gromadzone są na „placu palet mokrych”, gdzie oczekują na proces suszenia w komorach suszarniczych zasilanych w energię cieplną z zakładowej kotłowni. Po procesie suszenia palety są odkładane na magazyn wyrobu gotowego lub (jeśli tego wymaga klient) transportowane do malarni w celu pomalowania farbami wodorozcieńczalnymi i następnie odstawiane do magazynu wyrobu gotowego, gdzie oczekują na załadunek i wysyłkę. Po realizacji zamierzenia proces produkcyjny nie ulegnie zmianie, jedynie gotowe palety magazynowane będą również pod planowanymi wiatami. </w:t>
      </w:r>
    </w:p>
    <w:p w:rsidR="00B70FA0" w:rsidRPr="008B1B40" w:rsidRDefault="00B70FA0" w:rsidP="00B70FA0">
      <w:pPr>
        <w:jc w:val="both"/>
        <w:rPr>
          <w:rFonts w:ascii="Garamond" w:eastAsia="Times New Roman" w:hAnsi="Garamond"/>
          <w:bCs/>
          <w:sz w:val="22"/>
          <w:szCs w:val="22"/>
        </w:rPr>
      </w:pPr>
      <w:r w:rsidRPr="008B1B40">
        <w:rPr>
          <w:rFonts w:ascii="Garamond" w:eastAsia="Times New Roman" w:hAnsi="Garamond"/>
          <w:bCs/>
          <w:sz w:val="22"/>
          <w:szCs w:val="22"/>
        </w:rPr>
        <w:t>Aktualnie do produkcji wykorzystuje się drewno w ilości ok. 157 100 m</w:t>
      </w:r>
      <w:r w:rsidRPr="008B1B40">
        <w:rPr>
          <w:rFonts w:ascii="Garamond" w:eastAsia="Times New Roman" w:hAnsi="Garamond"/>
          <w:bCs/>
          <w:sz w:val="22"/>
          <w:szCs w:val="22"/>
          <w:vertAlign w:val="superscript"/>
        </w:rPr>
        <w:t>3</w:t>
      </w:r>
      <w:r w:rsidRPr="008B1B40">
        <w:rPr>
          <w:rFonts w:ascii="Garamond" w:eastAsia="Times New Roman" w:hAnsi="Garamond"/>
          <w:bCs/>
          <w:sz w:val="22"/>
          <w:szCs w:val="22"/>
        </w:rPr>
        <w:t>/rok, po realizacji zamierzenia ilość ta zwiększy się do ok. 165 000 m</w:t>
      </w:r>
      <w:r w:rsidRPr="008B1B40">
        <w:rPr>
          <w:rFonts w:ascii="Garamond" w:eastAsia="Times New Roman" w:hAnsi="Garamond"/>
          <w:bCs/>
          <w:sz w:val="22"/>
          <w:szCs w:val="22"/>
          <w:vertAlign w:val="superscript"/>
        </w:rPr>
        <w:t>3</w:t>
      </w:r>
      <w:r w:rsidRPr="008B1B40">
        <w:rPr>
          <w:rFonts w:ascii="Garamond" w:eastAsia="Times New Roman" w:hAnsi="Garamond"/>
          <w:bCs/>
          <w:sz w:val="22"/>
          <w:szCs w:val="22"/>
        </w:rPr>
        <w:t>/rok.</w:t>
      </w:r>
    </w:p>
    <w:p w:rsidR="00B70FA0" w:rsidRPr="008B1B40" w:rsidRDefault="00B70FA0" w:rsidP="00B70FA0">
      <w:pPr>
        <w:jc w:val="both"/>
        <w:rPr>
          <w:rFonts w:ascii="Garamond" w:eastAsia="Times New Roman" w:hAnsi="Garamond"/>
          <w:bCs/>
          <w:sz w:val="22"/>
          <w:szCs w:val="22"/>
        </w:rPr>
      </w:pPr>
      <w:r w:rsidRPr="008B1B40">
        <w:rPr>
          <w:rFonts w:ascii="Garamond" w:eastAsia="Times New Roman" w:hAnsi="Garamond"/>
          <w:bCs/>
          <w:sz w:val="22"/>
          <w:szCs w:val="22"/>
        </w:rPr>
        <w:t>Po rozbudowie planowana docelowa miesięczna wydajność produkcyjna wyniesie ok. 350 000 palet, miesięczny przerób wyniesie ok. 14 000 m</w:t>
      </w:r>
      <w:r w:rsidRPr="008B1B40">
        <w:rPr>
          <w:rFonts w:ascii="Garamond" w:eastAsia="Times New Roman" w:hAnsi="Garamond"/>
          <w:bCs/>
          <w:sz w:val="22"/>
          <w:szCs w:val="22"/>
          <w:vertAlign w:val="superscript"/>
        </w:rPr>
        <w:t>3</w:t>
      </w:r>
      <w:r w:rsidRPr="008B1B40">
        <w:rPr>
          <w:rFonts w:ascii="Garamond" w:eastAsia="Times New Roman" w:hAnsi="Garamond"/>
          <w:bCs/>
          <w:sz w:val="22"/>
          <w:szCs w:val="22"/>
        </w:rPr>
        <w:t xml:space="preserve"> drewna.</w:t>
      </w:r>
    </w:p>
    <w:p w:rsidR="00B70FA0" w:rsidRPr="008B1B40" w:rsidRDefault="00B70FA0" w:rsidP="00B70FA0">
      <w:pPr>
        <w:jc w:val="both"/>
        <w:rPr>
          <w:rFonts w:ascii="Garamond" w:eastAsia="Times New Roman" w:hAnsi="Garamond"/>
          <w:bCs/>
          <w:sz w:val="22"/>
          <w:szCs w:val="22"/>
        </w:rPr>
      </w:pPr>
      <w:r w:rsidRPr="008B1B40">
        <w:rPr>
          <w:rFonts w:ascii="Garamond" w:eastAsia="Times New Roman" w:hAnsi="Garamond"/>
          <w:bCs/>
          <w:sz w:val="22"/>
          <w:szCs w:val="22"/>
        </w:rPr>
        <w:t>Działalność prowadzona będzie w porze dziennej i nocnej od ponied</w:t>
      </w:r>
      <w:r>
        <w:rPr>
          <w:rFonts w:ascii="Garamond" w:eastAsia="Times New Roman" w:hAnsi="Garamond"/>
          <w:bCs/>
          <w:sz w:val="22"/>
          <w:szCs w:val="22"/>
        </w:rPr>
        <w:t>ziałku do piątku oraz w soboty w </w:t>
      </w:r>
      <w:r w:rsidRPr="008B1B40">
        <w:rPr>
          <w:rFonts w:ascii="Garamond" w:eastAsia="Times New Roman" w:hAnsi="Garamond"/>
          <w:bCs/>
          <w:sz w:val="22"/>
          <w:szCs w:val="22"/>
        </w:rPr>
        <w:t>godzinach od 6.00 do 13.00.</w:t>
      </w:r>
    </w:p>
    <w:p w:rsidR="00B70FA0" w:rsidRPr="008B1B40" w:rsidRDefault="00B70FA0" w:rsidP="00B70FA0">
      <w:pPr>
        <w:jc w:val="both"/>
        <w:rPr>
          <w:rFonts w:ascii="Garamond" w:eastAsia="Times New Roman" w:hAnsi="Garamond"/>
          <w:bCs/>
          <w:sz w:val="22"/>
          <w:szCs w:val="22"/>
        </w:rPr>
      </w:pPr>
      <w:r w:rsidRPr="008B1B40">
        <w:rPr>
          <w:rFonts w:ascii="Garamond" w:eastAsia="Times New Roman" w:hAnsi="Garamond"/>
          <w:bCs/>
          <w:sz w:val="22"/>
          <w:szCs w:val="22"/>
        </w:rPr>
        <w:t>Na etapie eksploatacji wykorzystywana będzie:</w:t>
      </w:r>
    </w:p>
    <w:p w:rsidR="00B70FA0" w:rsidRPr="008B1B40" w:rsidRDefault="00B70FA0" w:rsidP="00B70FA0">
      <w:pPr>
        <w:jc w:val="both"/>
        <w:rPr>
          <w:rFonts w:ascii="Garamond" w:eastAsia="Times New Roman" w:hAnsi="Garamond"/>
          <w:bCs/>
          <w:sz w:val="22"/>
          <w:szCs w:val="22"/>
        </w:rPr>
      </w:pPr>
      <w:r w:rsidRPr="008B1B40">
        <w:rPr>
          <w:rFonts w:ascii="Garamond" w:eastAsia="Times New Roman" w:hAnsi="Garamond"/>
          <w:bCs/>
          <w:sz w:val="22"/>
          <w:szCs w:val="22"/>
        </w:rPr>
        <w:t xml:space="preserve">- woda na cele bytowe i technologiczne (malowanie palet farbami wodorozcieńczalnymi) – z własnego ujęcia wody na warunkach pozwolenia wodnoprawnego (decyzja Starosty Jędrzejowskiego znak: </w:t>
      </w:r>
      <w:r w:rsidR="0040144E">
        <w:rPr>
          <w:rFonts w:ascii="Garamond" w:eastAsia="Times New Roman" w:hAnsi="Garamond"/>
          <w:bCs/>
          <w:sz w:val="22"/>
          <w:szCs w:val="22"/>
        </w:rPr>
        <w:t>6341.15.2015 z </w:t>
      </w:r>
      <w:r w:rsidRPr="008B1B40">
        <w:rPr>
          <w:rFonts w:ascii="Garamond" w:eastAsia="Times New Roman" w:hAnsi="Garamond"/>
          <w:bCs/>
          <w:sz w:val="22"/>
          <w:szCs w:val="22"/>
        </w:rPr>
        <w:t>dnia 21.04.2015 r.), przewiduje się zwiększenie zużycia wody z ok. 750 m</w:t>
      </w:r>
      <w:r w:rsidRPr="008B1B40">
        <w:rPr>
          <w:rFonts w:ascii="Garamond" w:eastAsia="Times New Roman" w:hAnsi="Garamond"/>
          <w:bCs/>
          <w:sz w:val="22"/>
          <w:szCs w:val="22"/>
          <w:vertAlign w:val="superscript"/>
        </w:rPr>
        <w:t>3</w:t>
      </w:r>
      <w:r w:rsidRPr="008B1B40">
        <w:rPr>
          <w:rFonts w:ascii="Garamond" w:eastAsia="Times New Roman" w:hAnsi="Garamond"/>
          <w:bCs/>
          <w:sz w:val="22"/>
          <w:szCs w:val="22"/>
        </w:rPr>
        <w:t>/rok do ok. 800 m</w:t>
      </w:r>
      <w:r w:rsidRPr="008B1B40">
        <w:rPr>
          <w:rFonts w:ascii="Garamond" w:eastAsia="Times New Roman" w:hAnsi="Garamond"/>
          <w:bCs/>
          <w:sz w:val="22"/>
          <w:szCs w:val="22"/>
          <w:vertAlign w:val="superscript"/>
        </w:rPr>
        <w:t>3</w:t>
      </w:r>
      <w:r w:rsidRPr="008B1B40">
        <w:rPr>
          <w:rFonts w:ascii="Garamond" w:eastAsia="Times New Roman" w:hAnsi="Garamond"/>
          <w:bCs/>
          <w:sz w:val="22"/>
          <w:szCs w:val="22"/>
        </w:rPr>
        <w:t>/rok (maksymalna roczna wydajność ujęcia zgodnie z ww. decyzją wynosi 2 190 m</w:t>
      </w:r>
      <w:r w:rsidRPr="008B1B40">
        <w:rPr>
          <w:rFonts w:ascii="Garamond" w:eastAsia="Times New Roman" w:hAnsi="Garamond"/>
          <w:bCs/>
          <w:sz w:val="22"/>
          <w:szCs w:val="22"/>
          <w:vertAlign w:val="superscript"/>
        </w:rPr>
        <w:t>3</w:t>
      </w:r>
      <w:r w:rsidRPr="008B1B40">
        <w:rPr>
          <w:rFonts w:ascii="Garamond" w:eastAsia="Times New Roman" w:hAnsi="Garamond"/>
          <w:bCs/>
          <w:sz w:val="22"/>
          <w:szCs w:val="22"/>
        </w:rPr>
        <w:t>/rok),</w:t>
      </w:r>
    </w:p>
    <w:p w:rsidR="00B70FA0" w:rsidRPr="008B1B40" w:rsidRDefault="00B70FA0" w:rsidP="00B70FA0">
      <w:pPr>
        <w:jc w:val="both"/>
        <w:rPr>
          <w:rFonts w:ascii="Garamond" w:eastAsia="Times New Roman" w:hAnsi="Garamond"/>
          <w:bCs/>
          <w:sz w:val="22"/>
          <w:szCs w:val="22"/>
        </w:rPr>
      </w:pPr>
      <w:r w:rsidRPr="008B1B40">
        <w:rPr>
          <w:rFonts w:ascii="Garamond" w:eastAsia="Times New Roman" w:hAnsi="Garamond"/>
          <w:bCs/>
          <w:sz w:val="22"/>
          <w:szCs w:val="22"/>
        </w:rPr>
        <w:t>- energia elektryczna – z sieci zewnętrznej na warunkach zarządcy, przewiduje się zwiększenie zużycia energii elektrycznej z ok. 4 520 MWh/rok do ok. 4 900 MWh/rok,</w:t>
      </w:r>
    </w:p>
    <w:p w:rsidR="00B70FA0" w:rsidRPr="008B1B40" w:rsidRDefault="00B70FA0" w:rsidP="00B70FA0">
      <w:pPr>
        <w:jc w:val="both"/>
        <w:rPr>
          <w:rFonts w:ascii="Garamond" w:eastAsia="Times New Roman" w:hAnsi="Garamond"/>
          <w:bCs/>
          <w:sz w:val="22"/>
          <w:szCs w:val="22"/>
        </w:rPr>
      </w:pPr>
      <w:r w:rsidRPr="008B1B40">
        <w:rPr>
          <w:rFonts w:ascii="Garamond" w:eastAsia="Times New Roman" w:hAnsi="Garamond"/>
          <w:bCs/>
          <w:sz w:val="22"/>
          <w:szCs w:val="22"/>
        </w:rPr>
        <w:t xml:space="preserve">- energia cieplna: paliwo – biomasa, przewiduje się zużycie trocin na dotychczasowym poziomie, tj. ok. 2 100 </w:t>
      </w:r>
      <w:proofErr w:type="spellStart"/>
      <w:r w:rsidRPr="008B1B40">
        <w:rPr>
          <w:rFonts w:ascii="Garamond" w:eastAsia="Times New Roman" w:hAnsi="Garamond"/>
          <w:bCs/>
          <w:sz w:val="22"/>
          <w:szCs w:val="22"/>
        </w:rPr>
        <w:t>mp</w:t>
      </w:r>
      <w:proofErr w:type="spellEnd"/>
      <w:r w:rsidRPr="008B1B40">
        <w:rPr>
          <w:rFonts w:ascii="Garamond" w:eastAsia="Times New Roman" w:hAnsi="Garamond"/>
          <w:bCs/>
          <w:sz w:val="22"/>
          <w:szCs w:val="22"/>
        </w:rPr>
        <w:t xml:space="preserve">/rok i zwiększenie zużycia zrębki z 1 300 </w:t>
      </w:r>
      <w:proofErr w:type="spellStart"/>
      <w:r w:rsidRPr="008B1B40">
        <w:rPr>
          <w:rFonts w:ascii="Garamond" w:eastAsia="Times New Roman" w:hAnsi="Garamond"/>
          <w:bCs/>
          <w:sz w:val="22"/>
          <w:szCs w:val="22"/>
        </w:rPr>
        <w:t>mp</w:t>
      </w:r>
      <w:proofErr w:type="spellEnd"/>
      <w:r w:rsidRPr="008B1B40">
        <w:rPr>
          <w:rFonts w:ascii="Garamond" w:eastAsia="Times New Roman" w:hAnsi="Garamond"/>
          <w:bCs/>
          <w:sz w:val="22"/>
          <w:szCs w:val="22"/>
        </w:rPr>
        <w:t xml:space="preserve">/rok do ok. 2 000 </w:t>
      </w:r>
      <w:proofErr w:type="spellStart"/>
      <w:r w:rsidRPr="008B1B40">
        <w:rPr>
          <w:rFonts w:ascii="Garamond" w:eastAsia="Times New Roman" w:hAnsi="Garamond"/>
          <w:bCs/>
          <w:sz w:val="22"/>
          <w:szCs w:val="22"/>
        </w:rPr>
        <w:t>mp</w:t>
      </w:r>
      <w:proofErr w:type="spellEnd"/>
      <w:r w:rsidRPr="008B1B40">
        <w:rPr>
          <w:rFonts w:ascii="Garamond" w:eastAsia="Times New Roman" w:hAnsi="Garamond"/>
          <w:bCs/>
          <w:sz w:val="22"/>
          <w:szCs w:val="22"/>
        </w:rPr>
        <w:t>/rok,</w:t>
      </w:r>
    </w:p>
    <w:p w:rsidR="00B70FA0" w:rsidRPr="008B1B40" w:rsidRDefault="00B70FA0" w:rsidP="00B70FA0">
      <w:pPr>
        <w:jc w:val="both"/>
        <w:rPr>
          <w:rFonts w:ascii="Garamond" w:eastAsia="Times New Roman" w:hAnsi="Garamond"/>
          <w:bCs/>
          <w:sz w:val="22"/>
          <w:szCs w:val="22"/>
        </w:rPr>
      </w:pPr>
      <w:r w:rsidRPr="008B1B40">
        <w:rPr>
          <w:rFonts w:ascii="Garamond" w:eastAsia="Times New Roman" w:hAnsi="Garamond"/>
          <w:bCs/>
          <w:sz w:val="22"/>
          <w:szCs w:val="22"/>
        </w:rPr>
        <w:t>- drewno – materiał do produkcji palet - przewiduje się zwiększenie wykorzystywanego drewna z ok. 157 100 m</w:t>
      </w:r>
      <w:r w:rsidRPr="008B1B40">
        <w:rPr>
          <w:rFonts w:ascii="Garamond" w:eastAsia="Times New Roman" w:hAnsi="Garamond"/>
          <w:bCs/>
          <w:sz w:val="22"/>
          <w:szCs w:val="22"/>
          <w:vertAlign w:val="superscript"/>
        </w:rPr>
        <w:t>3</w:t>
      </w:r>
      <w:r w:rsidRPr="008B1B40">
        <w:rPr>
          <w:rFonts w:ascii="Garamond" w:eastAsia="Times New Roman" w:hAnsi="Garamond"/>
          <w:bCs/>
          <w:sz w:val="22"/>
          <w:szCs w:val="22"/>
        </w:rPr>
        <w:t>/rok do ok. 165 000 m</w:t>
      </w:r>
      <w:r w:rsidRPr="008B1B40">
        <w:rPr>
          <w:rFonts w:ascii="Garamond" w:eastAsia="Times New Roman" w:hAnsi="Garamond"/>
          <w:bCs/>
          <w:sz w:val="22"/>
          <w:szCs w:val="22"/>
          <w:vertAlign w:val="superscript"/>
        </w:rPr>
        <w:t>3</w:t>
      </w:r>
      <w:r w:rsidRPr="008B1B40">
        <w:rPr>
          <w:rFonts w:ascii="Garamond" w:eastAsia="Times New Roman" w:hAnsi="Garamond"/>
          <w:bCs/>
          <w:sz w:val="22"/>
          <w:szCs w:val="22"/>
        </w:rPr>
        <w:t>/rok.</w:t>
      </w:r>
    </w:p>
    <w:p w:rsidR="00BA02F8" w:rsidRDefault="00BA02F8"/>
    <w:sectPr w:rsidR="00BA02F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F20" w:rsidRDefault="006E2F20" w:rsidP="000226FA">
      <w:r>
        <w:separator/>
      </w:r>
    </w:p>
  </w:endnote>
  <w:endnote w:type="continuationSeparator" w:id="0">
    <w:p w:rsidR="006E2F20" w:rsidRDefault="006E2F20" w:rsidP="00022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03126"/>
      <w:docPartObj>
        <w:docPartGallery w:val="Page Numbers (Bottom of Page)"/>
        <w:docPartUnique/>
      </w:docPartObj>
    </w:sdtPr>
    <w:sdtEndPr/>
    <w:sdtContent>
      <w:p w:rsidR="000226FA" w:rsidRDefault="000226F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C12">
          <w:rPr>
            <w:noProof/>
          </w:rPr>
          <w:t>2</w:t>
        </w:r>
        <w:r>
          <w:fldChar w:fldCharType="end"/>
        </w:r>
      </w:p>
    </w:sdtContent>
  </w:sdt>
  <w:p w:rsidR="000226FA" w:rsidRDefault="000226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F20" w:rsidRDefault="006E2F20" w:rsidP="000226FA">
      <w:r>
        <w:separator/>
      </w:r>
    </w:p>
  </w:footnote>
  <w:footnote w:type="continuationSeparator" w:id="0">
    <w:p w:rsidR="006E2F20" w:rsidRDefault="006E2F20" w:rsidP="00022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1"/>
    <w:multiLevelType w:val="singleLevel"/>
    <w:tmpl w:val="1146EBD2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</w:abstractNum>
  <w:abstractNum w:abstractNumId="1" w15:restartNumberingAfterBreak="0">
    <w:nsid w:val="34DB6122"/>
    <w:multiLevelType w:val="hybridMultilevel"/>
    <w:tmpl w:val="A606A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27421"/>
    <w:multiLevelType w:val="hybridMultilevel"/>
    <w:tmpl w:val="EEDC0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F793A"/>
    <w:multiLevelType w:val="hybridMultilevel"/>
    <w:tmpl w:val="0F7E9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2F8"/>
    <w:rsid w:val="000226FA"/>
    <w:rsid w:val="0040144E"/>
    <w:rsid w:val="004C5C12"/>
    <w:rsid w:val="006E2F20"/>
    <w:rsid w:val="009056D9"/>
    <w:rsid w:val="00A83E63"/>
    <w:rsid w:val="00B70FA0"/>
    <w:rsid w:val="00B77A1B"/>
    <w:rsid w:val="00BA02F8"/>
    <w:rsid w:val="00F3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2243A-820D-4F8E-B9E6-96B2C641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02F8"/>
    <w:pPr>
      <w:spacing w:after="0" w:line="240" w:lineRule="auto"/>
    </w:pPr>
    <w:rPr>
      <w:rFonts w:eastAsia="Calibri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odst">
    <w:name w:val="stand_odst"/>
    <w:basedOn w:val="Normalny"/>
    <w:rsid w:val="00BA02F8"/>
    <w:pPr>
      <w:suppressAutoHyphens/>
      <w:spacing w:line="276" w:lineRule="auto"/>
      <w:ind w:firstLine="709"/>
      <w:jc w:val="both"/>
    </w:pPr>
    <w:rPr>
      <w:rFonts w:eastAsia="Times New Roman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BA02F8"/>
    <w:pPr>
      <w:spacing w:line="360" w:lineRule="auto"/>
    </w:pPr>
    <w:rPr>
      <w:rFonts w:ascii="Garamond" w:eastAsia="Times New Roman" w:hAnsi="Garamond"/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BA02F8"/>
    <w:rPr>
      <w:rFonts w:ascii="Garamond" w:eastAsia="Times New Roman" w:hAnsi="Garamond" w:cs="Times New Roman"/>
      <w:sz w:val="26"/>
      <w:szCs w:val="24"/>
      <w:lang w:eastAsia="pl-PL"/>
    </w:rPr>
  </w:style>
  <w:style w:type="paragraph" w:customStyle="1" w:styleId="kropa1">
    <w:name w:val="kropa1"/>
    <w:basedOn w:val="Normalny"/>
    <w:rsid w:val="00BA02F8"/>
    <w:pPr>
      <w:suppressAutoHyphens/>
      <w:spacing w:before="60" w:line="276" w:lineRule="auto"/>
      <w:jc w:val="both"/>
    </w:pPr>
    <w:rPr>
      <w:rFonts w:eastAsia="Times New Roman"/>
      <w:snapToGrid w:val="0"/>
      <w:szCs w:val="20"/>
      <w:lang w:eastAsia="ar-SA"/>
    </w:rPr>
  </w:style>
  <w:style w:type="paragraph" w:customStyle="1" w:styleId="standard">
    <w:name w:val="standard"/>
    <w:basedOn w:val="Normalny"/>
    <w:link w:val="standardZnak1"/>
    <w:rsid w:val="00BA02F8"/>
    <w:pPr>
      <w:tabs>
        <w:tab w:val="left" w:pos="567"/>
      </w:tabs>
      <w:spacing w:after="120"/>
      <w:jc w:val="both"/>
    </w:pPr>
    <w:rPr>
      <w:rFonts w:eastAsia="Times New Roman"/>
      <w:color w:val="FF0000"/>
      <w:szCs w:val="20"/>
    </w:rPr>
  </w:style>
  <w:style w:type="character" w:customStyle="1" w:styleId="standardZnak1">
    <w:name w:val="standard Znak1"/>
    <w:link w:val="standard"/>
    <w:rsid w:val="00BA02F8"/>
    <w:rPr>
      <w:rFonts w:eastAsia="Times New Roman" w:cs="Times New Roman"/>
      <w:color w:val="FF000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26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26FA"/>
    <w:rPr>
      <w:rFonts w:eastAsia="Calibri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226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26FA"/>
    <w:rPr>
      <w:rFonts w:eastAsia="Calibri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5C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C12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831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Pawlusiński</dc:creator>
  <cp:keywords/>
  <dc:description/>
  <cp:lastModifiedBy>Przemysław Pawlusiński</cp:lastModifiedBy>
  <cp:revision>5</cp:revision>
  <cp:lastPrinted>2023-01-18T12:37:00Z</cp:lastPrinted>
  <dcterms:created xsi:type="dcterms:W3CDTF">2017-06-07T09:39:00Z</dcterms:created>
  <dcterms:modified xsi:type="dcterms:W3CDTF">2023-01-18T13:02:00Z</dcterms:modified>
</cp:coreProperties>
</file>