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79663E7" w14:textId="77777777" w:rsidR="00CF1B9C" w:rsidRPr="00C20C19" w:rsidRDefault="00CF1B9C" w:rsidP="00101C1E">
      <w:pPr>
        <w:pStyle w:val="Tytu"/>
      </w:pPr>
      <w:r w:rsidRPr="00C20C19">
        <w:t>SPECYFIKACJE TECHNICZNE</w:t>
      </w:r>
    </w:p>
    <w:p w14:paraId="4F8365D7" w14:textId="77777777" w:rsidR="00CF1B9C" w:rsidRPr="00C20C19" w:rsidRDefault="00CF1B9C" w:rsidP="00101C1E">
      <w:pPr>
        <w:pStyle w:val="Tytu"/>
      </w:pPr>
      <w:r w:rsidRPr="00C20C19">
        <w:t>WYKONANIA I OBIORU ROBOT BUDOWLANYCH</w:t>
      </w:r>
    </w:p>
    <w:p w14:paraId="7EE6C989" w14:textId="77777777" w:rsidR="00CF1B9C" w:rsidRDefault="00CF1B9C" w:rsidP="00101C1E">
      <w:pPr>
        <w:pStyle w:val="Tytu"/>
      </w:pPr>
      <w:r w:rsidRPr="00C20C19">
        <w:rPr>
          <w:rFonts w:cs="GillSansMT,Bold"/>
        </w:rPr>
        <w:t xml:space="preserve">Kod CPV </w:t>
      </w:r>
      <w:r w:rsidRPr="00C20C19">
        <w:t>45000000-7</w:t>
      </w:r>
    </w:p>
    <w:p w14:paraId="76CE8434" w14:textId="77777777" w:rsidR="00C20C19" w:rsidRDefault="00C20C19" w:rsidP="00101C1E">
      <w:pPr>
        <w:pStyle w:val="Tytu"/>
      </w:pPr>
    </w:p>
    <w:p w14:paraId="6BB2AD68" w14:textId="77777777" w:rsidR="00C20C19" w:rsidRDefault="00C20C19" w:rsidP="00101C1E">
      <w:pPr>
        <w:pStyle w:val="Tytu"/>
      </w:pPr>
    </w:p>
    <w:p w14:paraId="40B36BFD" w14:textId="77777777" w:rsidR="00C20C19" w:rsidRDefault="00C20C19" w:rsidP="00101C1E">
      <w:pPr>
        <w:pStyle w:val="Tytu"/>
      </w:pPr>
    </w:p>
    <w:p w14:paraId="3E429078" w14:textId="77777777" w:rsidR="00C20C19" w:rsidRDefault="00C20C19" w:rsidP="00101C1E">
      <w:pPr>
        <w:pStyle w:val="Tytu"/>
      </w:pPr>
    </w:p>
    <w:p w14:paraId="1AAD10FB" w14:textId="77777777" w:rsidR="005171CB" w:rsidRPr="005171CB" w:rsidRDefault="005171CB" w:rsidP="00101C1E">
      <w:pPr>
        <w:pStyle w:val="Tytu"/>
      </w:pPr>
    </w:p>
    <w:p w14:paraId="7B6EB3EC" w14:textId="01F8ED87" w:rsidR="002749A9" w:rsidRPr="002749A9" w:rsidRDefault="002749A9" w:rsidP="002749A9">
      <w:pPr>
        <w:rPr>
          <w:rFonts w:eastAsia="Times New Roman" w:cstheme="minorHAnsi"/>
          <w:b/>
          <w:bCs/>
          <w:sz w:val="40"/>
          <w:szCs w:val="40"/>
          <w:lang w:eastAsia="pl-PL"/>
        </w:rPr>
      </w:pPr>
      <w:bookmarkStart w:id="0" w:name="_Hlk65684015"/>
      <w:r>
        <w:rPr>
          <w:rFonts w:cstheme="minorHAnsi"/>
          <w:b/>
          <w:bCs/>
          <w:sz w:val="40"/>
          <w:szCs w:val="40"/>
        </w:rPr>
        <w:t>W</w:t>
      </w:r>
      <w:r w:rsidRPr="002749A9">
        <w:rPr>
          <w:rFonts w:eastAsia="Times New Roman" w:cstheme="minorHAnsi"/>
          <w:b/>
          <w:bCs/>
          <w:sz w:val="40"/>
          <w:szCs w:val="40"/>
          <w:lang w:eastAsia="pl-PL"/>
        </w:rPr>
        <w:t>YKONANI</w:t>
      </w:r>
      <w:r>
        <w:rPr>
          <w:rFonts w:eastAsia="Times New Roman" w:cstheme="minorHAnsi"/>
          <w:b/>
          <w:bCs/>
          <w:sz w:val="40"/>
          <w:szCs w:val="40"/>
          <w:lang w:eastAsia="pl-PL"/>
        </w:rPr>
        <w:t>E</w:t>
      </w:r>
      <w:r w:rsidRPr="002749A9">
        <w:rPr>
          <w:rFonts w:eastAsia="Times New Roman" w:cstheme="minorHAnsi"/>
          <w:b/>
          <w:bCs/>
          <w:sz w:val="40"/>
          <w:szCs w:val="40"/>
          <w:lang w:eastAsia="pl-PL"/>
        </w:rPr>
        <w:t xml:space="preserve"> I ODBI</w:t>
      </w:r>
      <w:r>
        <w:rPr>
          <w:rFonts w:eastAsia="Times New Roman" w:cstheme="minorHAnsi"/>
          <w:b/>
          <w:bCs/>
          <w:sz w:val="40"/>
          <w:szCs w:val="40"/>
          <w:lang w:eastAsia="pl-PL"/>
        </w:rPr>
        <w:t>Ó</w:t>
      </w:r>
      <w:r w:rsidRPr="002749A9">
        <w:rPr>
          <w:rFonts w:eastAsia="Times New Roman" w:cstheme="minorHAnsi"/>
          <w:b/>
          <w:bCs/>
          <w:sz w:val="40"/>
          <w:szCs w:val="40"/>
          <w:lang w:eastAsia="pl-PL"/>
        </w:rPr>
        <w:t>R POKRYĆ DACHOWYCH ORAZ UZUPEŁNIENIA ŁĄCZEŃ ŚCIAN</w:t>
      </w:r>
    </w:p>
    <w:bookmarkEnd w:id="0"/>
    <w:p w14:paraId="365CC4A8" w14:textId="77777777" w:rsidR="00D27B1A" w:rsidRDefault="00D27B1A" w:rsidP="00D27B1A">
      <w:pPr>
        <w:rPr>
          <w:rFonts w:ascii="Arial" w:eastAsia="Times New Roman" w:hAnsi="Arial" w:cs="Arial"/>
          <w:szCs w:val="20"/>
          <w:lang w:eastAsia="pl-PL"/>
        </w:rPr>
      </w:pPr>
    </w:p>
    <w:p w14:paraId="7EBA6E74" w14:textId="77777777" w:rsidR="002749A9" w:rsidRDefault="002749A9" w:rsidP="002749A9">
      <w:pPr>
        <w:pStyle w:val="Nagwek1"/>
        <w:rPr>
          <w:rFonts w:eastAsia="Times New Roman"/>
          <w:lang w:eastAsia="pl-PL"/>
        </w:rPr>
      </w:pPr>
      <w:r>
        <w:rPr>
          <w:rFonts w:eastAsia="Times New Roman"/>
          <w:lang w:eastAsia="pl-PL"/>
        </w:rPr>
        <w:lastRenderedPageBreak/>
        <w:t>Wstęp1.1.</w:t>
      </w:r>
    </w:p>
    <w:p w14:paraId="512C5BF0" w14:textId="31BB59BF" w:rsidR="002749A9" w:rsidRDefault="002749A9" w:rsidP="00E5226E">
      <w:pPr>
        <w:rPr>
          <w:rFonts w:ascii="Arial" w:eastAsia="Times New Roman" w:hAnsi="Arial" w:cs="Arial"/>
          <w:szCs w:val="20"/>
          <w:lang w:eastAsia="pl-PL"/>
        </w:rPr>
      </w:pPr>
      <w:r>
        <w:rPr>
          <w:rFonts w:ascii="Arial" w:eastAsia="Times New Roman" w:hAnsi="Arial" w:cs="Arial"/>
          <w:szCs w:val="20"/>
          <w:lang w:eastAsia="pl-PL"/>
        </w:rPr>
        <w:t xml:space="preserve">Przedmiot SST Przedmiotem niniejszej szczegółowej specyfikacji technicznej są wymagania dotyczące </w:t>
      </w:r>
    </w:p>
    <w:p w14:paraId="2DCFF382" w14:textId="77777777" w:rsidR="002749A9" w:rsidRDefault="002749A9" w:rsidP="00E5226E">
      <w:pPr>
        <w:rPr>
          <w:rFonts w:ascii="Arial" w:eastAsia="Times New Roman" w:hAnsi="Arial" w:cs="Arial"/>
          <w:szCs w:val="20"/>
          <w:lang w:eastAsia="pl-PL"/>
        </w:rPr>
      </w:pPr>
      <w:r>
        <w:rPr>
          <w:rFonts w:ascii="Arial" w:eastAsia="Times New Roman" w:hAnsi="Arial" w:cs="Arial"/>
          <w:szCs w:val="20"/>
          <w:lang w:eastAsia="pl-PL"/>
        </w:rPr>
        <w:t>1.2.Zakres stosowania SST</w:t>
      </w:r>
    </w:p>
    <w:p w14:paraId="1DBD9C98" w14:textId="77777777" w:rsidR="002749A9" w:rsidRDefault="002749A9" w:rsidP="00E5226E">
      <w:pPr>
        <w:rPr>
          <w:rFonts w:ascii="Arial" w:eastAsia="Times New Roman" w:hAnsi="Arial" w:cs="Arial"/>
          <w:szCs w:val="20"/>
          <w:lang w:eastAsia="pl-PL"/>
        </w:rPr>
      </w:pPr>
      <w:r>
        <w:rPr>
          <w:rFonts w:ascii="Arial" w:eastAsia="Times New Roman" w:hAnsi="Arial" w:cs="Arial"/>
          <w:szCs w:val="20"/>
          <w:lang w:eastAsia="pl-PL"/>
        </w:rPr>
        <w:t>Szczegółowa specyfikacja techniczna jest stosowana jako dokument przetargowy i kontraktowy przy zlecaniu i realizacji robót wymienionych w pkt. 1.1.1.</w:t>
      </w:r>
    </w:p>
    <w:p w14:paraId="0E2D28F2" w14:textId="4CD1FAF6" w:rsidR="002749A9" w:rsidRDefault="002749A9" w:rsidP="00E5226E">
      <w:pPr>
        <w:rPr>
          <w:rFonts w:ascii="Arial" w:eastAsia="Times New Roman" w:hAnsi="Arial" w:cs="Arial"/>
          <w:szCs w:val="20"/>
          <w:lang w:eastAsia="pl-PL"/>
        </w:rPr>
      </w:pPr>
      <w:r>
        <w:rPr>
          <w:rFonts w:ascii="Arial" w:eastAsia="Times New Roman" w:hAnsi="Arial" w:cs="Arial"/>
          <w:szCs w:val="20"/>
          <w:lang w:eastAsia="pl-PL"/>
        </w:rPr>
        <w:t>1.</w:t>
      </w:r>
      <w:r>
        <w:rPr>
          <w:rFonts w:ascii="Arial" w:eastAsia="Times New Roman" w:hAnsi="Arial" w:cs="Arial"/>
          <w:szCs w:val="20"/>
          <w:lang w:eastAsia="pl-PL"/>
        </w:rPr>
        <w:t>3.Zakres robót objętych SST</w:t>
      </w:r>
    </w:p>
    <w:p w14:paraId="75888874" w14:textId="77777777" w:rsidR="002749A9" w:rsidRDefault="002749A9" w:rsidP="00E5226E">
      <w:pPr>
        <w:rPr>
          <w:rFonts w:ascii="Arial" w:eastAsia="Times New Roman" w:hAnsi="Arial" w:cs="Arial"/>
          <w:szCs w:val="20"/>
          <w:lang w:eastAsia="pl-PL"/>
        </w:rPr>
      </w:pPr>
      <w:r>
        <w:rPr>
          <w:rFonts w:ascii="Arial" w:eastAsia="Times New Roman" w:hAnsi="Arial" w:cs="Arial"/>
          <w:szCs w:val="20"/>
          <w:lang w:eastAsia="pl-PL"/>
        </w:rPr>
        <w:t>Roboty, których dotyczy specyfikacja, obejmują wszystkie czynności umożliwiające i mające na celu wykonanie pokryć dachowych wraz z obróbkami blacharskimi i elementami wystającymi ponad dach budynku</w:t>
      </w:r>
    </w:p>
    <w:p w14:paraId="11E7C15B" w14:textId="77777777" w:rsidR="002749A9" w:rsidRDefault="002749A9" w:rsidP="00E5226E">
      <w:pPr>
        <w:rPr>
          <w:rFonts w:ascii="Arial" w:eastAsia="Times New Roman" w:hAnsi="Arial" w:cs="Arial"/>
          <w:szCs w:val="20"/>
          <w:lang w:eastAsia="pl-PL"/>
        </w:rPr>
      </w:pPr>
      <w:r>
        <w:rPr>
          <w:rFonts w:ascii="Arial" w:eastAsia="Times New Roman" w:hAnsi="Arial" w:cs="Arial"/>
          <w:szCs w:val="20"/>
          <w:lang w:eastAsia="pl-PL"/>
        </w:rPr>
        <w:t>1.4.Określenia podstawowe.</w:t>
      </w:r>
    </w:p>
    <w:p w14:paraId="02F1733D" w14:textId="77777777" w:rsidR="002749A9" w:rsidRDefault="002749A9" w:rsidP="00E5226E">
      <w:pPr>
        <w:rPr>
          <w:rFonts w:ascii="Arial" w:eastAsia="Times New Roman" w:hAnsi="Arial" w:cs="Arial"/>
          <w:szCs w:val="20"/>
          <w:lang w:eastAsia="pl-PL"/>
        </w:rPr>
      </w:pPr>
      <w:r>
        <w:rPr>
          <w:rFonts w:ascii="Arial" w:eastAsia="Times New Roman" w:hAnsi="Arial" w:cs="Arial"/>
          <w:szCs w:val="20"/>
          <w:lang w:eastAsia="pl-PL"/>
        </w:rPr>
        <w:t>Określenia podane w niniejszej SST są zgodne z obowiązującymi odpowiednimi normami.</w:t>
      </w:r>
    </w:p>
    <w:p w14:paraId="03DEA0F6" w14:textId="77777777" w:rsidR="002749A9" w:rsidRDefault="002749A9" w:rsidP="00E5226E">
      <w:pPr>
        <w:rPr>
          <w:rFonts w:ascii="Arial" w:eastAsia="Times New Roman" w:hAnsi="Arial" w:cs="Arial"/>
          <w:szCs w:val="20"/>
          <w:lang w:eastAsia="pl-PL"/>
        </w:rPr>
      </w:pPr>
      <w:r>
        <w:rPr>
          <w:rFonts w:ascii="Arial" w:eastAsia="Times New Roman" w:hAnsi="Arial" w:cs="Arial"/>
          <w:szCs w:val="20"/>
          <w:lang w:eastAsia="pl-PL"/>
        </w:rPr>
        <w:t>1.5.Ogólne wymagania dotyczące robót</w:t>
      </w:r>
    </w:p>
    <w:p w14:paraId="0ED1C0E2" w14:textId="77777777" w:rsidR="002749A9" w:rsidRDefault="002749A9" w:rsidP="00E5226E">
      <w:pPr>
        <w:rPr>
          <w:rFonts w:ascii="Arial" w:eastAsia="Times New Roman" w:hAnsi="Arial" w:cs="Arial"/>
          <w:szCs w:val="20"/>
          <w:lang w:eastAsia="pl-PL"/>
        </w:rPr>
      </w:pPr>
      <w:r>
        <w:rPr>
          <w:rFonts w:ascii="Arial" w:eastAsia="Times New Roman" w:hAnsi="Arial" w:cs="Arial"/>
          <w:szCs w:val="20"/>
          <w:lang w:eastAsia="pl-PL"/>
        </w:rPr>
        <w:t>Wykonawca robót jest odpowiedzialny za jakość ich wykonania oraz za zgodność z dokumentacją projektową, SST i poleceniami inspektora nadzoru.</w:t>
      </w:r>
    </w:p>
    <w:p w14:paraId="1FE15B76" w14:textId="77777777" w:rsidR="002749A9" w:rsidRDefault="002749A9" w:rsidP="002749A9">
      <w:pPr>
        <w:pStyle w:val="Nagwek1"/>
        <w:rPr>
          <w:rFonts w:eastAsia="Times New Roman"/>
          <w:lang w:eastAsia="pl-PL"/>
        </w:rPr>
      </w:pPr>
      <w:r>
        <w:rPr>
          <w:rFonts w:eastAsia="Times New Roman"/>
          <w:lang w:eastAsia="pl-PL"/>
        </w:rPr>
        <w:lastRenderedPageBreak/>
        <w:t>2. Materiały</w:t>
      </w:r>
    </w:p>
    <w:p w14:paraId="237E7F65" w14:textId="77777777" w:rsidR="002749A9" w:rsidRDefault="002749A9" w:rsidP="00E5226E">
      <w:pPr>
        <w:rPr>
          <w:rFonts w:ascii="Arial" w:eastAsia="Times New Roman" w:hAnsi="Arial" w:cs="Arial"/>
          <w:szCs w:val="20"/>
          <w:lang w:eastAsia="pl-PL"/>
        </w:rPr>
      </w:pPr>
      <w:r>
        <w:rPr>
          <w:rFonts w:ascii="Arial" w:eastAsia="Times New Roman" w:hAnsi="Arial" w:cs="Arial"/>
          <w:szCs w:val="20"/>
          <w:lang w:eastAsia="pl-PL"/>
        </w:rPr>
        <w:t>Ogólne wymagania dotyczące materiałów ich pozyskania i składowania Materiały stosowane do wykonywania robót powinny miećm.in.:</w:t>
      </w:r>
    </w:p>
    <w:p w14:paraId="3A9DBDD7" w14:textId="77777777" w:rsidR="002749A9" w:rsidRDefault="002749A9" w:rsidP="00E5226E">
      <w:pPr>
        <w:rPr>
          <w:rFonts w:ascii="Arial" w:eastAsia="Times New Roman" w:hAnsi="Arial" w:cs="Arial"/>
          <w:szCs w:val="20"/>
          <w:lang w:eastAsia="pl-PL"/>
        </w:rPr>
      </w:pPr>
      <w:r>
        <w:rPr>
          <w:rFonts w:ascii="Arial" w:eastAsia="Times New Roman" w:hAnsi="Arial" w:cs="Arial"/>
          <w:szCs w:val="20"/>
          <w:lang w:eastAsia="pl-PL"/>
        </w:rPr>
        <w:t xml:space="preserve">–Aprobaty Techniczne lub być produkowane zgodnie z obowiązującymi normami, </w:t>
      </w:r>
    </w:p>
    <w:p w14:paraId="46EA0664" w14:textId="2E958F0D" w:rsidR="002749A9" w:rsidRDefault="002749A9" w:rsidP="00E5226E">
      <w:pPr>
        <w:rPr>
          <w:rFonts w:ascii="Arial" w:eastAsia="Times New Roman" w:hAnsi="Arial" w:cs="Arial"/>
          <w:szCs w:val="20"/>
          <w:lang w:eastAsia="pl-PL"/>
        </w:rPr>
      </w:pPr>
      <w:r>
        <w:rPr>
          <w:rFonts w:ascii="Arial" w:eastAsia="Times New Roman" w:hAnsi="Arial" w:cs="Arial"/>
          <w:szCs w:val="20"/>
          <w:lang w:eastAsia="pl-PL"/>
        </w:rPr>
        <w:t>–Certyfikat lub Deklarację Zgodności z Aprobatą Techniczną lub z PN,</w:t>
      </w:r>
    </w:p>
    <w:p w14:paraId="1B041178" w14:textId="77777777" w:rsidR="002749A9" w:rsidRDefault="002749A9" w:rsidP="00E5226E">
      <w:pPr>
        <w:rPr>
          <w:rFonts w:ascii="Arial" w:eastAsia="Times New Roman" w:hAnsi="Arial" w:cs="Arial"/>
          <w:szCs w:val="20"/>
          <w:lang w:eastAsia="pl-PL"/>
        </w:rPr>
      </w:pPr>
      <w:r>
        <w:rPr>
          <w:rFonts w:ascii="Arial" w:eastAsia="Times New Roman" w:hAnsi="Arial" w:cs="Arial"/>
          <w:szCs w:val="20"/>
          <w:lang w:eastAsia="pl-PL"/>
        </w:rPr>
        <w:t>–Certyfikat na znak bezpieczeństwa,</w:t>
      </w:r>
    </w:p>
    <w:p w14:paraId="061EF061" w14:textId="77777777" w:rsidR="002749A9" w:rsidRDefault="002749A9" w:rsidP="00E5226E">
      <w:pPr>
        <w:rPr>
          <w:rFonts w:ascii="Arial" w:eastAsia="Times New Roman" w:hAnsi="Arial" w:cs="Arial"/>
          <w:szCs w:val="20"/>
          <w:lang w:eastAsia="pl-PL"/>
        </w:rPr>
      </w:pPr>
      <w:r>
        <w:rPr>
          <w:rFonts w:ascii="Arial" w:eastAsia="Times New Roman" w:hAnsi="Arial" w:cs="Arial"/>
          <w:szCs w:val="20"/>
          <w:lang w:eastAsia="pl-PL"/>
        </w:rPr>
        <w:t>–Certyfikat zgodności ze zharmonizowaną normą europejską wprowadzoną do zbioru norm polskich,</w:t>
      </w:r>
    </w:p>
    <w:p w14:paraId="6BF86D29" w14:textId="77777777" w:rsidR="002749A9" w:rsidRDefault="002749A9" w:rsidP="00E5226E">
      <w:pPr>
        <w:rPr>
          <w:rFonts w:ascii="Arial" w:eastAsia="Times New Roman" w:hAnsi="Arial" w:cs="Arial"/>
          <w:szCs w:val="20"/>
          <w:lang w:eastAsia="pl-PL"/>
        </w:rPr>
      </w:pPr>
      <w:r>
        <w:rPr>
          <w:rFonts w:ascii="Arial" w:eastAsia="Times New Roman" w:hAnsi="Arial" w:cs="Arial"/>
          <w:szCs w:val="20"/>
          <w:lang w:eastAsia="pl-PL"/>
        </w:rPr>
        <w:t>–na opakowaniach powinien znajdować się termin przydatności do stosowania.</w:t>
      </w:r>
    </w:p>
    <w:p w14:paraId="49547EE7" w14:textId="77777777" w:rsidR="002749A9" w:rsidRDefault="002749A9" w:rsidP="00E5226E">
      <w:pPr>
        <w:rPr>
          <w:rFonts w:ascii="Arial" w:eastAsia="Times New Roman" w:hAnsi="Arial" w:cs="Arial"/>
          <w:szCs w:val="20"/>
          <w:lang w:eastAsia="pl-PL"/>
        </w:rPr>
      </w:pPr>
      <w:r>
        <w:rPr>
          <w:rFonts w:ascii="Arial" w:eastAsia="Times New Roman" w:hAnsi="Arial" w:cs="Arial"/>
          <w:szCs w:val="20"/>
          <w:lang w:eastAsia="pl-PL"/>
        </w:rPr>
        <w:t>Sposób transportu i składowania powinien być zgodny z warunkami i wymaganiami podanymi przez producenta. Wykonawca obowiązany jest posiadać na budowie pełną dokumentację dotyczącą składowanych na budowie materiałów przeznaczonych do wykonania pokryć dachowych.</w:t>
      </w:r>
    </w:p>
    <w:p w14:paraId="49953464" w14:textId="77777777" w:rsidR="002749A9" w:rsidRDefault="002749A9" w:rsidP="00E5226E">
      <w:pPr>
        <w:rPr>
          <w:rFonts w:ascii="Arial" w:eastAsia="Times New Roman" w:hAnsi="Arial" w:cs="Arial"/>
          <w:szCs w:val="20"/>
          <w:lang w:eastAsia="pl-PL"/>
        </w:rPr>
      </w:pPr>
      <w:r>
        <w:rPr>
          <w:rFonts w:ascii="Arial" w:eastAsia="Times New Roman" w:hAnsi="Arial" w:cs="Arial"/>
          <w:szCs w:val="20"/>
          <w:lang w:eastAsia="pl-PL"/>
        </w:rPr>
        <w:t>2.2 Rodzaje materiałów</w:t>
      </w:r>
    </w:p>
    <w:p w14:paraId="7C07BD50" w14:textId="2237268C" w:rsidR="002749A9" w:rsidRDefault="002749A9" w:rsidP="00E5226E">
      <w:pPr>
        <w:rPr>
          <w:rFonts w:ascii="Arial" w:eastAsia="Times New Roman" w:hAnsi="Arial" w:cs="Arial"/>
          <w:szCs w:val="20"/>
          <w:lang w:eastAsia="pl-PL"/>
        </w:rPr>
      </w:pPr>
      <w:r>
        <w:rPr>
          <w:rFonts w:ascii="Arial" w:eastAsia="Times New Roman" w:hAnsi="Arial" w:cs="Arial"/>
          <w:szCs w:val="20"/>
          <w:lang w:eastAsia="pl-PL"/>
        </w:rPr>
        <w:t xml:space="preserve"> Wszystkie materiały do wykonania pokryć dachu powinny odpowiadać wymaganiom zawartym w dokumentach odniesienia (normach, aprobatach technicznych</w:t>
      </w:r>
      <w:r>
        <w:rPr>
          <w:rFonts w:ascii="Arial" w:eastAsia="Times New Roman" w:hAnsi="Arial" w:cs="Arial"/>
          <w:szCs w:val="20"/>
          <w:lang w:eastAsia="pl-PL"/>
        </w:rPr>
        <w:t xml:space="preserve">) oraz Programem </w:t>
      </w:r>
      <w:proofErr w:type="spellStart"/>
      <w:r>
        <w:rPr>
          <w:rFonts w:ascii="Arial" w:eastAsia="Times New Roman" w:hAnsi="Arial" w:cs="Arial"/>
          <w:szCs w:val="20"/>
          <w:lang w:eastAsia="pl-PL"/>
        </w:rPr>
        <w:t>Konserwarotskim</w:t>
      </w:r>
      <w:proofErr w:type="spellEnd"/>
    </w:p>
    <w:p w14:paraId="4FF68FDC" w14:textId="77777777" w:rsidR="002749A9" w:rsidRDefault="002749A9" w:rsidP="00E5226E">
      <w:pPr>
        <w:rPr>
          <w:rFonts w:ascii="Arial" w:eastAsia="Times New Roman" w:hAnsi="Arial" w:cs="Arial"/>
          <w:szCs w:val="20"/>
          <w:lang w:eastAsia="pl-PL"/>
        </w:rPr>
      </w:pPr>
      <w:r>
        <w:rPr>
          <w:rFonts w:ascii="Arial" w:eastAsia="Times New Roman" w:hAnsi="Arial" w:cs="Arial"/>
          <w:szCs w:val="20"/>
          <w:lang w:eastAsia="pl-PL"/>
        </w:rPr>
        <w:t>2.2.1 Materiały podstawowe - gont drewniany zgodny z projektem. Drewno użyte do wyrobu gontów musi być dobrej jakości, nie powinno mieć sęków.</w:t>
      </w:r>
    </w:p>
    <w:p w14:paraId="40F9D70B" w14:textId="77777777" w:rsidR="002749A9" w:rsidRDefault="002749A9" w:rsidP="00E5226E">
      <w:pPr>
        <w:rPr>
          <w:rFonts w:ascii="Arial" w:eastAsia="Times New Roman" w:hAnsi="Arial" w:cs="Arial"/>
          <w:szCs w:val="20"/>
          <w:lang w:eastAsia="pl-PL"/>
        </w:rPr>
      </w:pPr>
      <w:r>
        <w:rPr>
          <w:rFonts w:ascii="Arial" w:eastAsia="Times New Roman" w:hAnsi="Arial" w:cs="Arial"/>
          <w:szCs w:val="20"/>
          <w:lang w:eastAsia="pl-PL"/>
        </w:rPr>
        <w:t>2.2.2 Materiały pomocnicze -uchwyty systemowe do łat kalenicowych i grzbietowych, -gwoździe karbowane do drewna, klamry, zszywki lub inne wyroby systemowe do mocowania gontów. Wszystkie wyżej wymienione materiały muszą mieć własności techniczne określone przez producenta lub odpowiadające wymaganiom aprobat technicznych bądź PN.</w:t>
      </w:r>
    </w:p>
    <w:p w14:paraId="4BBB9EF5" w14:textId="77777777" w:rsidR="002749A9" w:rsidRDefault="002749A9" w:rsidP="00E5226E">
      <w:pPr>
        <w:rPr>
          <w:rFonts w:ascii="Arial" w:eastAsia="Times New Roman" w:hAnsi="Arial" w:cs="Arial"/>
          <w:szCs w:val="20"/>
          <w:lang w:eastAsia="pl-PL"/>
        </w:rPr>
      </w:pPr>
      <w:r>
        <w:rPr>
          <w:rFonts w:ascii="Arial" w:eastAsia="Times New Roman" w:hAnsi="Arial" w:cs="Arial"/>
          <w:szCs w:val="20"/>
          <w:lang w:eastAsia="pl-PL"/>
        </w:rPr>
        <w:t xml:space="preserve">2.3 Warunki przyjęcia wyrobów </w:t>
      </w:r>
      <w:proofErr w:type="spellStart"/>
      <w:r>
        <w:rPr>
          <w:rFonts w:ascii="Arial" w:eastAsia="Times New Roman" w:hAnsi="Arial" w:cs="Arial"/>
          <w:szCs w:val="20"/>
          <w:lang w:eastAsia="pl-PL"/>
        </w:rPr>
        <w:t>pokrywczychna</w:t>
      </w:r>
      <w:proofErr w:type="spellEnd"/>
      <w:r>
        <w:rPr>
          <w:rFonts w:ascii="Arial" w:eastAsia="Times New Roman" w:hAnsi="Arial" w:cs="Arial"/>
          <w:szCs w:val="20"/>
          <w:lang w:eastAsia="pl-PL"/>
        </w:rPr>
        <w:t xml:space="preserve"> budowę Wyroby do pokryć mogą być </w:t>
      </w:r>
      <w:proofErr w:type="spellStart"/>
      <w:r>
        <w:rPr>
          <w:rFonts w:ascii="Arial" w:eastAsia="Times New Roman" w:hAnsi="Arial" w:cs="Arial"/>
          <w:szCs w:val="20"/>
          <w:lang w:eastAsia="pl-PL"/>
        </w:rPr>
        <w:t>przyjętena</w:t>
      </w:r>
      <w:proofErr w:type="spellEnd"/>
      <w:r>
        <w:rPr>
          <w:rFonts w:ascii="Arial" w:eastAsia="Times New Roman" w:hAnsi="Arial" w:cs="Arial"/>
          <w:szCs w:val="20"/>
          <w:lang w:eastAsia="pl-PL"/>
        </w:rPr>
        <w:t xml:space="preserve"> budkowe, jeżeli spełniają następujące warunki: -są zgodne z ich wyszczególnieniem i charakterystyką podaną w dokumentacji projektowej i specyfikacji technicznej, -są właściwie opakowane i oznakowane, -</w:t>
      </w:r>
      <w:proofErr w:type="spellStart"/>
      <w:r>
        <w:rPr>
          <w:rFonts w:ascii="Arial" w:eastAsia="Times New Roman" w:hAnsi="Arial" w:cs="Arial"/>
          <w:szCs w:val="20"/>
          <w:lang w:eastAsia="pl-PL"/>
        </w:rPr>
        <w:t>spełniająwymagane</w:t>
      </w:r>
      <w:proofErr w:type="spellEnd"/>
      <w:r>
        <w:rPr>
          <w:rFonts w:ascii="Arial" w:eastAsia="Times New Roman" w:hAnsi="Arial" w:cs="Arial"/>
          <w:szCs w:val="20"/>
          <w:lang w:eastAsia="pl-PL"/>
        </w:rPr>
        <w:t xml:space="preserve"> właściwości, towarzyszące wysyłce powinny </w:t>
      </w:r>
      <w:proofErr w:type="spellStart"/>
      <w:r>
        <w:rPr>
          <w:rFonts w:ascii="Arial" w:eastAsia="Times New Roman" w:hAnsi="Arial" w:cs="Arial"/>
          <w:szCs w:val="20"/>
          <w:lang w:eastAsia="pl-PL"/>
        </w:rPr>
        <w:t>omrozoodporności</w:t>
      </w:r>
      <w:proofErr w:type="spellEnd"/>
      <w:r>
        <w:rPr>
          <w:rFonts w:ascii="Arial" w:eastAsia="Times New Roman" w:hAnsi="Arial" w:cs="Arial"/>
          <w:szCs w:val="20"/>
          <w:lang w:eastAsia="pl-PL"/>
        </w:rPr>
        <w:t xml:space="preserve"> dachówek), wskazane odpowiednimi </w:t>
      </w:r>
      <w:proofErr w:type="spellStart"/>
      <w:r>
        <w:rPr>
          <w:rFonts w:ascii="Arial" w:eastAsia="Times New Roman" w:hAnsi="Arial" w:cs="Arial"/>
          <w:szCs w:val="20"/>
          <w:lang w:eastAsia="pl-PL"/>
        </w:rPr>
        <w:t>dokumentamiodniesienia</w:t>
      </w:r>
      <w:proofErr w:type="spellEnd"/>
      <w:r>
        <w:rPr>
          <w:rFonts w:ascii="Arial" w:eastAsia="Times New Roman" w:hAnsi="Arial" w:cs="Arial"/>
          <w:szCs w:val="20"/>
          <w:lang w:eastAsia="pl-PL"/>
        </w:rPr>
        <w:t xml:space="preserve"> (dokumenty </w:t>
      </w:r>
      <w:proofErr w:type="spellStart"/>
      <w:r>
        <w:rPr>
          <w:rFonts w:ascii="Arial" w:eastAsia="Times New Roman" w:hAnsi="Arial" w:cs="Arial"/>
          <w:szCs w:val="20"/>
          <w:lang w:eastAsia="pl-PL"/>
        </w:rPr>
        <w:t>określaćmiedzy</w:t>
      </w:r>
      <w:proofErr w:type="spellEnd"/>
      <w:r>
        <w:rPr>
          <w:rFonts w:ascii="Arial" w:eastAsia="Times New Roman" w:hAnsi="Arial" w:cs="Arial"/>
          <w:szCs w:val="20"/>
          <w:lang w:eastAsia="pl-PL"/>
        </w:rPr>
        <w:t xml:space="preserve"> innymi kategorię przesiąkliwości i wynik badania -producent dostarczył dokumenty jednostkowego stosowania oraz świadczące o dopuszczeniu do obrotu karty katalogowe wyrobów lub firmowe i powszechnego lub wytyczne stosowania wyrobów. Niedopuszczalne jest stosowanie do robót pokrywczych wyrobów nieznanego pochodzenia. </w:t>
      </w:r>
      <w:proofErr w:type="spellStart"/>
      <w:r>
        <w:rPr>
          <w:rFonts w:ascii="Arial" w:eastAsia="Times New Roman" w:hAnsi="Arial" w:cs="Arial"/>
          <w:szCs w:val="20"/>
          <w:lang w:eastAsia="pl-PL"/>
        </w:rPr>
        <w:t>Przyjęciemateriałów</w:t>
      </w:r>
      <w:proofErr w:type="spellEnd"/>
      <w:r>
        <w:rPr>
          <w:rFonts w:ascii="Arial" w:eastAsia="Times New Roman" w:hAnsi="Arial" w:cs="Arial"/>
          <w:szCs w:val="20"/>
          <w:lang w:eastAsia="pl-PL"/>
        </w:rPr>
        <w:t xml:space="preserve"> na </w:t>
      </w:r>
      <w:proofErr w:type="spellStart"/>
      <w:r>
        <w:rPr>
          <w:rFonts w:ascii="Arial" w:eastAsia="Times New Roman" w:hAnsi="Arial" w:cs="Arial"/>
          <w:szCs w:val="20"/>
          <w:lang w:eastAsia="pl-PL"/>
        </w:rPr>
        <w:t>budowępowinno</w:t>
      </w:r>
      <w:proofErr w:type="spellEnd"/>
      <w:r>
        <w:rPr>
          <w:rFonts w:ascii="Arial" w:eastAsia="Times New Roman" w:hAnsi="Arial" w:cs="Arial"/>
          <w:szCs w:val="20"/>
          <w:lang w:eastAsia="pl-PL"/>
        </w:rPr>
        <w:t xml:space="preserve"> być potwierdzone wpisem do dziennika budowy.</w:t>
      </w:r>
    </w:p>
    <w:p w14:paraId="77CDEE4C" w14:textId="77777777" w:rsidR="002749A9" w:rsidRDefault="002749A9" w:rsidP="00E5226E">
      <w:pPr>
        <w:rPr>
          <w:rFonts w:ascii="Arial" w:eastAsia="Times New Roman" w:hAnsi="Arial" w:cs="Arial"/>
          <w:szCs w:val="20"/>
          <w:lang w:eastAsia="pl-PL"/>
        </w:rPr>
      </w:pPr>
      <w:r>
        <w:rPr>
          <w:rFonts w:ascii="Arial" w:eastAsia="Times New Roman" w:hAnsi="Arial" w:cs="Arial"/>
          <w:szCs w:val="20"/>
          <w:lang w:eastAsia="pl-PL"/>
        </w:rPr>
        <w:t>Warunki przechowywania wyrobów do pokryć gontem drewnianym</w:t>
      </w:r>
    </w:p>
    <w:p w14:paraId="323BDCE3" w14:textId="6F0697B7" w:rsidR="002749A9" w:rsidRDefault="002749A9" w:rsidP="00E5226E">
      <w:pPr>
        <w:rPr>
          <w:rFonts w:ascii="Arial" w:eastAsia="Times New Roman" w:hAnsi="Arial" w:cs="Arial"/>
          <w:szCs w:val="20"/>
          <w:lang w:eastAsia="pl-PL"/>
        </w:rPr>
      </w:pPr>
      <w:r>
        <w:rPr>
          <w:rFonts w:ascii="Arial" w:eastAsia="Times New Roman" w:hAnsi="Arial" w:cs="Arial"/>
          <w:szCs w:val="20"/>
          <w:lang w:eastAsia="pl-PL"/>
        </w:rPr>
        <w:t xml:space="preserve">- </w:t>
      </w:r>
      <w:r>
        <w:rPr>
          <w:rFonts w:ascii="Arial" w:eastAsia="Times New Roman" w:hAnsi="Arial" w:cs="Arial"/>
          <w:szCs w:val="20"/>
          <w:lang w:eastAsia="pl-PL"/>
        </w:rPr>
        <w:t>Wszystkie wyroby do pokryć powinny być przechowywane i magazynowane zgodnie z instrukcją producenta oraz wymaganiami odpowiednich norm.</w:t>
      </w:r>
    </w:p>
    <w:p w14:paraId="3D95ACEF" w14:textId="71BFFDDE" w:rsidR="002749A9" w:rsidRDefault="002749A9" w:rsidP="00E5226E">
      <w:pPr>
        <w:rPr>
          <w:rFonts w:ascii="Arial" w:eastAsia="Times New Roman" w:hAnsi="Arial" w:cs="Arial"/>
          <w:szCs w:val="20"/>
          <w:lang w:eastAsia="pl-PL"/>
        </w:rPr>
      </w:pPr>
      <w:r>
        <w:rPr>
          <w:rFonts w:ascii="Arial" w:eastAsia="Times New Roman" w:hAnsi="Arial" w:cs="Arial"/>
          <w:szCs w:val="20"/>
          <w:lang w:eastAsia="pl-PL"/>
        </w:rPr>
        <w:t xml:space="preserve">- </w:t>
      </w:r>
      <w:r>
        <w:rPr>
          <w:rFonts w:ascii="Arial" w:eastAsia="Times New Roman" w:hAnsi="Arial" w:cs="Arial"/>
          <w:szCs w:val="20"/>
          <w:lang w:eastAsia="pl-PL"/>
        </w:rPr>
        <w:t>Wyroby przechowuje się wiązkach i na paletach, zgodnie z instrukcją producenta</w:t>
      </w:r>
    </w:p>
    <w:p w14:paraId="321816B4" w14:textId="77777777" w:rsidR="002749A9" w:rsidRDefault="002749A9" w:rsidP="00E5226E">
      <w:pPr>
        <w:rPr>
          <w:rFonts w:ascii="Arial" w:eastAsia="Times New Roman" w:hAnsi="Arial" w:cs="Arial"/>
          <w:szCs w:val="20"/>
          <w:lang w:eastAsia="pl-PL"/>
        </w:rPr>
      </w:pPr>
      <w:r>
        <w:rPr>
          <w:rFonts w:ascii="Arial" w:eastAsia="Times New Roman" w:hAnsi="Arial" w:cs="Arial"/>
          <w:szCs w:val="20"/>
          <w:lang w:eastAsia="pl-PL"/>
        </w:rPr>
        <w:t>2.5 Oznakowanie materiałów powinno umożliwiać identyfikację producenta i typu wyrobu, kraju pochodzenia, daty produkcji.</w:t>
      </w:r>
    </w:p>
    <w:p w14:paraId="612BD4F9" w14:textId="77777777" w:rsidR="002749A9" w:rsidRDefault="002749A9" w:rsidP="002749A9">
      <w:pPr>
        <w:pStyle w:val="Nagwek1"/>
        <w:rPr>
          <w:rFonts w:eastAsia="Times New Roman"/>
          <w:lang w:eastAsia="pl-PL"/>
        </w:rPr>
      </w:pPr>
      <w:r>
        <w:rPr>
          <w:rFonts w:eastAsia="Times New Roman"/>
          <w:lang w:eastAsia="pl-PL"/>
        </w:rPr>
        <w:lastRenderedPageBreak/>
        <w:t>SPRZET</w:t>
      </w:r>
    </w:p>
    <w:p w14:paraId="69964FA3" w14:textId="77777777" w:rsidR="002749A9" w:rsidRDefault="002749A9" w:rsidP="00E5226E">
      <w:pPr>
        <w:rPr>
          <w:rFonts w:ascii="Arial" w:eastAsia="Times New Roman" w:hAnsi="Arial" w:cs="Arial"/>
          <w:szCs w:val="20"/>
          <w:lang w:eastAsia="pl-PL"/>
        </w:rPr>
      </w:pPr>
      <w:r>
        <w:rPr>
          <w:rFonts w:ascii="Arial" w:eastAsia="Times New Roman" w:hAnsi="Arial" w:cs="Arial"/>
          <w:szCs w:val="20"/>
          <w:lang w:eastAsia="pl-PL"/>
        </w:rPr>
        <w:t>3.1 Roboty można wykonać ręcznie lub przy użyciu specjalistycznych narzędzi. Wykonawca jest zobowiązany do używania takich narzędzi, które nie spowodują niekorzystnego wpływu na jakość materiałów i wykonywanych robót oraz będą przyjazne dla środowiska. Przy doborze narzędzi należy uwzględnić wymagania producenta wyrobów do wykonania pokrycia gontem drewnianym.</w:t>
      </w:r>
    </w:p>
    <w:p w14:paraId="467A11BB" w14:textId="67650E49" w:rsidR="002749A9" w:rsidRDefault="002749A9" w:rsidP="00E5226E">
      <w:pPr>
        <w:rPr>
          <w:rFonts w:ascii="Arial" w:eastAsia="Times New Roman" w:hAnsi="Arial" w:cs="Arial"/>
          <w:szCs w:val="20"/>
          <w:lang w:eastAsia="pl-PL"/>
        </w:rPr>
      </w:pPr>
      <w:r>
        <w:rPr>
          <w:rFonts w:ascii="Arial" w:eastAsia="Times New Roman" w:hAnsi="Arial" w:cs="Arial"/>
          <w:szCs w:val="20"/>
          <w:lang w:eastAsia="pl-PL"/>
        </w:rPr>
        <w:t>3.2 Roboty można wykonywać ręcznie lub przy użyciu specjalistycznych narzędzi. Wykonawca jest zobowiązany do używania takich narzędzi, które nie spowodują niekorzystnego wpływu na jakość materiałów i wykonywanych robót oraz będą przyjazne dla środowiska.</w:t>
      </w:r>
      <w:r>
        <w:rPr>
          <w:rFonts w:ascii="Arial" w:eastAsia="Times New Roman" w:hAnsi="Arial" w:cs="Arial"/>
          <w:szCs w:val="20"/>
          <w:lang w:eastAsia="pl-PL"/>
        </w:rPr>
        <w:t xml:space="preserve"> </w:t>
      </w:r>
      <w:r>
        <w:rPr>
          <w:rFonts w:ascii="Arial" w:eastAsia="Times New Roman" w:hAnsi="Arial" w:cs="Arial"/>
          <w:szCs w:val="20"/>
          <w:lang w:eastAsia="pl-PL"/>
        </w:rPr>
        <w:t>Przy doborze narzędzi należy uwzględnić wymagania producenta wyrobów do wykonania pokrycia. Wykonawca winien stosować odpowiedni sprzęt niezbędny do wykonania robót.</w:t>
      </w:r>
      <w:r>
        <w:rPr>
          <w:rFonts w:ascii="Arial" w:eastAsia="Times New Roman" w:hAnsi="Arial" w:cs="Arial"/>
          <w:szCs w:val="20"/>
          <w:lang w:eastAsia="pl-PL"/>
        </w:rPr>
        <w:t xml:space="preserve"> </w:t>
      </w:r>
      <w:r>
        <w:rPr>
          <w:rFonts w:ascii="Arial" w:eastAsia="Times New Roman" w:hAnsi="Arial" w:cs="Arial"/>
          <w:szCs w:val="20"/>
          <w:lang w:eastAsia="pl-PL"/>
        </w:rPr>
        <w:t>Podstawowy sprzęt wymagany do realizacji robót:</w:t>
      </w:r>
      <w:r>
        <w:rPr>
          <w:rFonts w:ascii="Arial" w:eastAsia="Times New Roman" w:hAnsi="Arial" w:cs="Arial"/>
          <w:szCs w:val="20"/>
          <w:lang w:eastAsia="pl-PL"/>
        </w:rPr>
        <w:t xml:space="preserve"> </w:t>
      </w:r>
      <w:r>
        <w:rPr>
          <w:rFonts w:ascii="Arial" w:eastAsia="Times New Roman" w:hAnsi="Arial" w:cs="Arial"/>
          <w:szCs w:val="20"/>
          <w:lang w:eastAsia="pl-PL"/>
        </w:rPr>
        <w:t>Piły do drewna, młotki, elektronarzędzia (wiertarki, piły, strugarka), wyciąg budowlany, taśmy miernicze, poziomice, łaty poziomujące i inne narzędzia zalecane przez producentów systemów do pokryć dachowych,</w:t>
      </w:r>
    </w:p>
    <w:p w14:paraId="540713E4" w14:textId="77777777" w:rsidR="002749A9" w:rsidRDefault="002749A9" w:rsidP="002749A9">
      <w:pPr>
        <w:pStyle w:val="Nagwek1"/>
        <w:rPr>
          <w:rFonts w:eastAsia="Times New Roman"/>
          <w:lang w:eastAsia="pl-PL"/>
        </w:rPr>
      </w:pPr>
      <w:r>
        <w:rPr>
          <w:rFonts w:eastAsia="Times New Roman"/>
          <w:lang w:eastAsia="pl-PL"/>
        </w:rPr>
        <w:lastRenderedPageBreak/>
        <w:t>4. TRANSPORT</w:t>
      </w:r>
    </w:p>
    <w:p w14:paraId="2E92ED51" w14:textId="01496922" w:rsidR="002749A9" w:rsidRDefault="002749A9" w:rsidP="00E5226E">
      <w:pPr>
        <w:rPr>
          <w:rFonts w:ascii="Arial" w:eastAsia="Times New Roman" w:hAnsi="Arial" w:cs="Arial"/>
          <w:szCs w:val="20"/>
          <w:lang w:eastAsia="pl-PL"/>
        </w:rPr>
      </w:pPr>
      <w:r>
        <w:rPr>
          <w:rFonts w:ascii="Arial" w:eastAsia="Times New Roman" w:hAnsi="Arial" w:cs="Arial"/>
          <w:szCs w:val="20"/>
          <w:lang w:eastAsia="pl-PL"/>
        </w:rPr>
        <w:t>4.1. Do transportu materiałów i urządzeń</w:t>
      </w:r>
      <w:r>
        <w:rPr>
          <w:rFonts w:ascii="Arial" w:eastAsia="Times New Roman" w:hAnsi="Arial" w:cs="Arial"/>
          <w:szCs w:val="20"/>
          <w:lang w:eastAsia="pl-PL"/>
        </w:rPr>
        <w:t xml:space="preserve"> </w:t>
      </w:r>
      <w:r>
        <w:rPr>
          <w:rFonts w:ascii="Arial" w:eastAsia="Times New Roman" w:hAnsi="Arial" w:cs="Arial"/>
          <w:szCs w:val="20"/>
          <w:lang w:eastAsia="pl-PL"/>
        </w:rPr>
        <w:t>stosować następujące sprawne technicznie środki transportu: -samochód skrzyniowy o ładowności</w:t>
      </w:r>
      <w:r>
        <w:rPr>
          <w:rFonts w:ascii="Arial" w:eastAsia="Times New Roman" w:hAnsi="Arial" w:cs="Arial"/>
          <w:szCs w:val="20"/>
          <w:lang w:eastAsia="pl-PL"/>
        </w:rPr>
        <w:t xml:space="preserve"> </w:t>
      </w:r>
      <w:r>
        <w:rPr>
          <w:rFonts w:ascii="Arial" w:eastAsia="Times New Roman" w:hAnsi="Arial" w:cs="Arial"/>
          <w:szCs w:val="20"/>
          <w:lang w:eastAsia="pl-PL"/>
        </w:rPr>
        <w:t>5-10 ton, -samochód dostawczy o ładowności 0,9 ton, -ciągnik kołowy</w:t>
      </w:r>
      <w:r>
        <w:rPr>
          <w:rFonts w:ascii="Arial" w:eastAsia="Times New Roman" w:hAnsi="Arial" w:cs="Arial"/>
          <w:szCs w:val="20"/>
          <w:lang w:eastAsia="pl-PL"/>
        </w:rPr>
        <w:t xml:space="preserve"> </w:t>
      </w:r>
      <w:r>
        <w:rPr>
          <w:rFonts w:ascii="Arial" w:eastAsia="Times New Roman" w:hAnsi="Arial" w:cs="Arial"/>
          <w:szCs w:val="20"/>
          <w:lang w:eastAsia="pl-PL"/>
        </w:rPr>
        <w:t>z przyczepa. Załadunek i rozładunek ręczny.</w:t>
      </w:r>
    </w:p>
    <w:p w14:paraId="55A70DF2" w14:textId="77777777" w:rsidR="002749A9" w:rsidRDefault="002749A9" w:rsidP="002749A9">
      <w:pPr>
        <w:pStyle w:val="Nagwek1"/>
        <w:rPr>
          <w:rFonts w:eastAsia="Times New Roman"/>
          <w:lang w:eastAsia="pl-PL"/>
        </w:rPr>
      </w:pPr>
      <w:r>
        <w:rPr>
          <w:rFonts w:eastAsia="Times New Roman"/>
          <w:lang w:eastAsia="pl-PL"/>
        </w:rPr>
        <w:lastRenderedPageBreak/>
        <w:t>WYKONANIE ROBÓT</w:t>
      </w:r>
    </w:p>
    <w:p w14:paraId="04CEEEBC" w14:textId="7852E536" w:rsidR="002749A9" w:rsidRDefault="002749A9" w:rsidP="00E5226E">
      <w:pPr>
        <w:rPr>
          <w:rFonts w:ascii="Arial" w:eastAsia="Times New Roman" w:hAnsi="Arial" w:cs="Arial"/>
          <w:szCs w:val="20"/>
          <w:lang w:eastAsia="pl-PL"/>
        </w:rPr>
      </w:pPr>
      <w:r>
        <w:rPr>
          <w:rFonts w:ascii="Arial" w:eastAsia="Times New Roman" w:hAnsi="Arial" w:cs="Arial"/>
          <w:szCs w:val="20"/>
          <w:lang w:eastAsia="pl-PL"/>
        </w:rPr>
        <w:t xml:space="preserve"> 5.1. Warunki przystąpienia do robót pokrywczych Do wykonywania robót pokrywczych gontem można przystąpić</w:t>
      </w:r>
      <w:r>
        <w:rPr>
          <w:rFonts w:ascii="Arial" w:eastAsia="Times New Roman" w:hAnsi="Arial" w:cs="Arial"/>
          <w:szCs w:val="20"/>
          <w:lang w:eastAsia="pl-PL"/>
        </w:rPr>
        <w:t xml:space="preserve"> </w:t>
      </w:r>
      <w:r>
        <w:rPr>
          <w:rFonts w:ascii="Arial" w:eastAsia="Times New Roman" w:hAnsi="Arial" w:cs="Arial"/>
          <w:szCs w:val="20"/>
          <w:lang w:eastAsia="pl-PL"/>
        </w:rPr>
        <w:t>po całkowitym zakończeniu i odbiorze robót konstrukcyjnych (ciesielskich) dachu oraz po przygotowaniu i kontroli podkładu pod pokrycie.</w:t>
      </w:r>
    </w:p>
    <w:p w14:paraId="11A95267" w14:textId="1F303ABD" w:rsidR="002749A9" w:rsidRDefault="002749A9" w:rsidP="00E5226E">
      <w:pPr>
        <w:rPr>
          <w:rFonts w:ascii="Arial" w:eastAsia="Times New Roman" w:hAnsi="Arial" w:cs="Arial"/>
          <w:szCs w:val="20"/>
          <w:lang w:eastAsia="pl-PL"/>
        </w:rPr>
      </w:pPr>
      <w:r>
        <w:rPr>
          <w:rFonts w:ascii="Arial" w:eastAsia="Times New Roman" w:hAnsi="Arial" w:cs="Arial"/>
          <w:szCs w:val="20"/>
          <w:lang w:eastAsia="pl-PL"/>
        </w:rPr>
        <w:t>5.2 Wymagania dotyczące podkładu Wszystkie elementy drewniane więźby dachowej należy zaimpregnować środkami grzybobójczymi ognioodpornymi, lub innymi o podobnych właściwościach. Impregnację należy wykonać poprzez malowanie lub metodą natryskowa.  W ścianach należy uzupełnić brakujące łączenia między balami przy użyciu materiałów zgodnych z wytycznymi konserwatorskimi i projektem</w:t>
      </w:r>
    </w:p>
    <w:p w14:paraId="7A2EBDEB" w14:textId="77777777" w:rsidR="002749A9" w:rsidRDefault="002749A9" w:rsidP="002749A9">
      <w:pPr>
        <w:rPr>
          <w:rFonts w:ascii="Arial" w:eastAsia="Times New Roman" w:hAnsi="Arial" w:cs="Arial"/>
          <w:szCs w:val="20"/>
          <w:lang w:eastAsia="pl-PL"/>
        </w:rPr>
      </w:pPr>
      <w:r>
        <w:rPr>
          <w:rFonts w:ascii="Arial" w:eastAsia="Times New Roman" w:hAnsi="Arial" w:cs="Arial"/>
          <w:szCs w:val="20"/>
          <w:lang w:eastAsia="pl-PL"/>
        </w:rPr>
        <w:t xml:space="preserve">5.3 Ściany oczyścić zgodnie z Programem Konserwatorskim. </w:t>
      </w:r>
      <w:r w:rsidRPr="002749A9">
        <w:rPr>
          <w:rFonts w:ascii="Arial" w:eastAsia="Times New Roman" w:hAnsi="Arial" w:cs="Arial"/>
          <w:szCs w:val="20"/>
          <w:lang w:eastAsia="pl-PL"/>
        </w:rPr>
        <w:t xml:space="preserve">Uzupełnienie ubytków zaprawy uszczelniającej belki wykonanych z gliny z dodatkiem spoiwa (np. wapna) oraz pakuł konopnych, uzupełnienie należy </w:t>
      </w:r>
      <w:r>
        <w:rPr>
          <w:rFonts w:ascii="Arial" w:eastAsia="Times New Roman" w:hAnsi="Arial" w:cs="Arial"/>
          <w:szCs w:val="20"/>
          <w:lang w:eastAsia="pl-PL"/>
        </w:rPr>
        <w:t xml:space="preserve"> </w:t>
      </w:r>
      <w:r w:rsidRPr="002749A9">
        <w:rPr>
          <w:rFonts w:ascii="Arial" w:eastAsia="Times New Roman" w:hAnsi="Arial" w:cs="Arial"/>
          <w:szCs w:val="20"/>
          <w:lang w:eastAsia="pl-PL"/>
        </w:rPr>
        <w:t>wykonać naśladowczo do zachowanych na obiekcie;</w:t>
      </w:r>
    </w:p>
    <w:p w14:paraId="184A15E4" w14:textId="47D79718" w:rsidR="002749A9" w:rsidRDefault="002749A9" w:rsidP="002749A9">
      <w:pPr>
        <w:rPr>
          <w:rFonts w:ascii="Arial" w:eastAsia="Times New Roman" w:hAnsi="Arial" w:cs="Arial"/>
          <w:szCs w:val="20"/>
          <w:lang w:eastAsia="pl-PL"/>
        </w:rPr>
      </w:pPr>
      <w:r w:rsidRPr="002749A9">
        <w:rPr>
          <w:rFonts w:ascii="Arial" w:eastAsia="Times New Roman" w:hAnsi="Arial" w:cs="Arial"/>
          <w:szCs w:val="20"/>
          <w:lang w:eastAsia="pl-PL"/>
        </w:rPr>
        <w:t xml:space="preserve">Zaleca się położenie warstwy ochronno-dekoracyjnej transparentnej </w:t>
      </w:r>
      <w:r>
        <w:rPr>
          <w:rFonts w:ascii="Arial" w:eastAsia="Times New Roman" w:hAnsi="Arial" w:cs="Arial"/>
          <w:szCs w:val="20"/>
          <w:lang w:eastAsia="pl-PL"/>
        </w:rPr>
        <w:t xml:space="preserve"> </w:t>
      </w:r>
      <w:r w:rsidRPr="002749A9">
        <w:rPr>
          <w:rFonts w:ascii="Arial" w:eastAsia="Times New Roman" w:hAnsi="Arial" w:cs="Arial"/>
          <w:szCs w:val="20"/>
          <w:lang w:eastAsia="pl-PL"/>
        </w:rPr>
        <w:t xml:space="preserve">uwidaczniającej słoje drewna w kolorystyce, wstępnie przyjmuje się </w:t>
      </w:r>
      <w:r>
        <w:rPr>
          <w:rFonts w:ascii="Arial" w:eastAsia="Times New Roman" w:hAnsi="Arial" w:cs="Arial"/>
          <w:szCs w:val="20"/>
          <w:lang w:eastAsia="pl-PL"/>
        </w:rPr>
        <w:t xml:space="preserve"> </w:t>
      </w:r>
      <w:r w:rsidRPr="002749A9">
        <w:rPr>
          <w:rFonts w:ascii="Arial" w:eastAsia="Times New Roman" w:hAnsi="Arial" w:cs="Arial"/>
          <w:szCs w:val="20"/>
          <w:lang w:eastAsia="pl-PL"/>
        </w:rPr>
        <w:t xml:space="preserve">wykonanie warstwy o barwie dostosowanej do koloru drewna po </w:t>
      </w:r>
      <w:r>
        <w:rPr>
          <w:rFonts w:ascii="Arial" w:eastAsia="Times New Roman" w:hAnsi="Arial" w:cs="Arial"/>
          <w:szCs w:val="20"/>
          <w:lang w:eastAsia="pl-PL"/>
        </w:rPr>
        <w:t xml:space="preserve"> </w:t>
      </w:r>
      <w:r w:rsidRPr="002749A9">
        <w:rPr>
          <w:rFonts w:ascii="Arial" w:eastAsia="Times New Roman" w:hAnsi="Arial" w:cs="Arial"/>
          <w:szCs w:val="20"/>
          <w:lang w:eastAsia="pl-PL"/>
        </w:rPr>
        <w:t xml:space="preserve">oczyszczeniu; proponuje się zastosowanie preparatu </w:t>
      </w:r>
      <w:proofErr w:type="spellStart"/>
      <w:r w:rsidRPr="002749A9">
        <w:rPr>
          <w:rFonts w:ascii="Arial" w:eastAsia="Times New Roman" w:hAnsi="Arial" w:cs="Arial"/>
          <w:szCs w:val="20"/>
          <w:lang w:eastAsia="pl-PL"/>
        </w:rPr>
        <w:t>ochronno</w:t>
      </w:r>
      <w:proofErr w:type="spellEnd"/>
      <w:r w:rsidRPr="002749A9">
        <w:rPr>
          <w:rFonts w:ascii="Arial" w:eastAsia="Times New Roman" w:hAnsi="Arial" w:cs="Arial"/>
          <w:szCs w:val="20"/>
          <w:lang w:eastAsia="pl-PL"/>
        </w:rPr>
        <w:t xml:space="preserve"> </w:t>
      </w:r>
      <w:r>
        <w:rPr>
          <w:rFonts w:ascii="Arial" w:eastAsia="Times New Roman" w:hAnsi="Arial" w:cs="Arial"/>
          <w:szCs w:val="20"/>
          <w:lang w:eastAsia="pl-PL"/>
        </w:rPr>
        <w:t xml:space="preserve"> </w:t>
      </w:r>
      <w:r w:rsidRPr="002749A9">
        <w:rPr>
          <w:rFonts w:ascii="Arial" w:eastAsia="Times New Roman" w:hAnsi="Arial" w:cs="Arial"/>
          <w:szCs w:val="20"/>
          <w:lang w:eastAsia="pl-PL"/>
        </w:rPr>
        <w:t xml:space="preserve">dekoracyjnego bezbarwnego </w:t>
      </w:r>
      <w:proofErr w:type="spellStart"/>
      <w:r w:rsidRPr="002749A9">
        <w:rPr>
          <w:rFonts w:ascii="Arial" w:eastAsia="Times New Roman" w:hAnsi="Arial" w:cs="Arial"/>
          <w:szCs w:val="20"/>
          <w:lang w:eastAsia="pl-PL"/>
        </w:rPr>
        <w:t>Adolit-Hk</w:t>
      </w:r>
      <w:proofErr w:type="spellEnd"/>
      <w:r w:rsidRPr="002749A9">
        <w:rPr>
          <w:rFonts w:ascii="Arial" w:eastAsia="Times New Roman" w:hAnsi="Arial" w:cs="Arial"/>
          <w:szCs w:val="20"/>
          <w:lang w:eastAsia="pl-PL"/>
        </w:rPr>
        <w:t xml:space="preserve">- </w:t>
      </w:r>
      <w:proofErr w:type="spellStart"/>
      <w:r w:rsidRPr="002749A9">
        <w:rPr>
          <w:rFonts w:ascii="Arial" w:eastAsia="Times New Roman" w:hAnsi="Arial" w:cs="Arial"/>
          <w:szCs w:val="20"/>
          <w:lang w:eastAsia="pl-PL"/>
        </w:rPr>
        <w:t>Lasur</w:t>
      </w:r>
      <w:proofErr w:type="spellEnd"/>
      <w:r w:rsidRPr="002749A9">
        <w:rPr>
          <w:rFonts w:ascii="Arial" w:eastAsia="Times New Roman" w:hAnsi="Arial" w:cs="Arial"/>
          <w:szCs w:val="20"/>
          <w:lang w:eastAsia="pl-PL"/>
        </w:rPr>
        <w:t xml:space="preserve"> f. </w:t>
      </w:r>
      <w:proofErr w:type="spellStart"/>
      <w:r w:rsidRPr="002749A9">
        <w:rPr>
          <w:rFonts w:ascii="Arial" w:eastAsia="Times New Roman" w:hAnsi="Arial" w:cs="Arial"/>
          <w:szCs w:val="20"/>
          <w:lang w:eastAsia="pl-PL"/>
        </w:rPr>
        <w:t>Remmers</w:t>
      </w:r>
      <w:proofErr w:type="spellEnd"/>
      <w:r w:rsidRPr="002749A9">
        <w:rPr>
          <w:rFonts w:ascii="Arial" w:eastAsia="Times New Roman" w:hAnsi="Arial" w:cs="Arial"/>
          <w:szCs w:val="20"/>
          <w:lang w:eastAsia="pl-PL"/>
        </w:rPr>
        <w:t>;</w:t>
      </w:r>
      <w:r>
        <w:rPr>
          <w:rFonts w:ascii="Arial" w:eastAsia="Times New Roman" w:hAnsi="Arial" w:cs="Arial"/>
          <w:szCs w:val="20"/>
          <w:lang w:eastAsia="pl-PL"/>
        </w:rPr>
        <w:t xml:space="preserve"> </w:t>
      </w:r>
      <w:r w:rsidRPr="002749A9">
        <w:rPr>
          <w:rFonts w:ascii="Arial" w:eastAsia="Times New Roman" w:hAnsi="Arial" w:cs="Arial"/>
          <w:szCs w:val="20"/>
          <w:lang w:eastAsia="pl-PL"/>
        </w:rPr>
        <w:t xml:space="preserve">Wykonanie dokumentacji powykonawczej pisemnej i fotograficznej </w:t>
      </w:r>
      <w:r>
        <w:rPr>
          <w:rFonts w:ascii="Arial" w:eastAsia="Times New Roman" w:hAnsi="Arial" w:cs="Arial"/>
          <w:szCs w:val="20"/>
          <w:lang w:eastAsia="pl-PL"/>
        </w:rPr>
        <w:t xml:space="preserve"> </w:t>
      </w:r>
      <w:r w:rsidRPr="002749A9">
        <w:rPr>
          <w:rFonts w:ascii="Arial" w:eastAsia="Times New Roman" w:hAnsi="Arial" w:cs="Arial"/>
          <w:szCs w:val="20"/>
          <w:lang w:eastAsia="pl-PL"/>
        </w:rPr>
        <w:t>dotyczącej całości wykonanych prac.</w:t>
      </w:r>
      <w:r>
        <w:rPr>
          <w:rFonts w:ascii="Arial" w:eastAsia="Times New Roman" w:hAnsi="Arial" w:cs="Arial"/>
          <w:szCs w:val="20"/>
          <w:lang w:eastAsia="pl-PL"/>
        </w:rPr>
        <w:t xml:space="preserve"> Należy również odświeżyć malowanie słupków ogrodzeniowych. </w:t>
      </w:r>
    </w:p>
    <w:p w14:paraId="27CB046C" w14:textId="77777777" w:rsidR="002749A9" w:rsidRDefault="002749A9" w:rsidP="002749A9">
      <w:pPr>
        <w:pStyle w:val="Nagwek1"/>
        <w:rPr>
          <w:rFonts w:eastAsia="Times New Roman"/>
          <w:lang w:eastAsia="pl-PL"/>
        </w:rPr>
      </w:pPr>
      <w:r>
        <w:rPr>
          <w:rFonts w:eastAsia="Times New Roman"/>
          <w:lang w:eastAsia="pl-PL"/>
        </w:rPr>
        <w:lastRenderedPageBreak/>
        <w:t>6. KONTROLA JAKOSCI ROBÓT</w:t>
      </w:r>
    </w:p>
    <w:p w14:paraId="32757642" w14:textId="77777777" w:rsidR="002749A9" w:rsidRDefault="002749A9" w:rsidP="00E5226E">
      <w:pPr>
        <w:rPr>
          <w:rFonts w:ascii="Arial" w:eastAsia="Times New Roman" w:hAnsi="Arial" w:cs="Arial"/>
          <w:szCs w:val="20"/>
          <w:lang w:eastAsia="pl-PL"/>
        </w:rPr>
      </w:pPr>
      <w:r>
        <w:rPr>
          <w:rFonts w:ascii="Arial" w:eastAsia="Times New Roman" w:hAnsi="Arial" w:cs="Arial"/>
          <w:szCs w:val="20"/>
          <w:lang w:eastAsia="pl-PL"/>
        </w:rPr>
        <w:t>Kontrola jakości robót polega na sprawdzeniu zgodności ich wykonania z wymaganiami niniejszej specyfikacji</w:t>
      </w:r>
    </w:p>
    <w:p w14:paraId="5F467F57" w14:textId="77777777" w:rsidR="002749A9" w:rsidRDefault="002749A9" w:rsidP="00E5226E">
      <w:pPr>
        <w:rPr>
          <w:rFonts w:ascii="Arial" w:eastAsia="Times New Roman" w:hAnsi="Arial" w:cs="Arial"/>
          <w:szCs w:val="20"/>
          <w:lang w:eastAsia="pl-PL"/>
        </w:rPr>
      </w:pPr>
      <w:r>
        <w:rPr>
          <w:rFonts w:ascii="Arial" w:eastAsia="Times New Roman" w:hAnsi="Arial" w:cs="Arial"/>
          <w:szCs w:val="20"/>
          <w:lang w:eastAsia="pl-PL"/>
        </w:rPr>
        <w:t>6.1. Kontrola wykonania podkładów pod pokrycia powinna być przeprowadzona przez Inspektora nadzoru przed przystąpieniem do wykonania pokryć zgodnie z wymaganiami normy PN-80/B-10240.</w:t>
      </w:r>
    </w:p>
    <w:p w14:paraId="2E9023BE" w14:textId="1AF0CDD5" w:rsidR="002749A9" w:rsidRDefault="002749A9" w:rsidP="00E5226E">
      <w:pPr>
        <w:rPr>
          <w:rFonts w:ascii="Arial" w:eastAsia="Times New Roman" w:hAnsi="Arial" w:cs="Arial"/>
          <w:szCs w:val="20"/>
          <w:lang w:eastAsia="pl-PL"/>
        </w:rPr>
      </w:pPr>
      <w:r>
        <w:rPr>
          <w:rFonts w:ascii="Arial" w:eastAsia="Times New Roman" w:hAnsi="Arial" w:cs="Arial"/>
          <w:szCs w:val="20"/>
          <w:lang w:eastAsia="pl-PL"/>
        </w:rPr>
        <w:t>6.2. Kontrola wykonania pokryć Kontrola wykonania pokryć</w:t>
      </w:r>
      <w:r>
        <w:rPr>
          <w:rFonts w:ascii="Arial" w:eastAsia="Times New Roman" w:hAnsi="Arial" w:cs="Arial"/>
          <w:szCs w:val="20"/>
          <w:lang w:eastAsia="pl-PL"/>
        </w:rPr>
        <w:t xml:space="preserve"> </w:t>
      </w:r>
      <w:r>
        <w:rPr>
          <w:rFonts w:ascii="Arial" w:eastAsia="Times New Roman" w:hAnsi="Arial" w:cs="Arial"/>
          <w:szCs w:val="20"/>
          <w:lang w:eastAsia="pl-PL"/>
        </w:rPr>
        <w:t>polega na sprawdzeniu zgodności ich wykonania z powołanymi normami przedmiotowymi i wymaganiami specyfikacji.</w:t>
      </w:r>
      <w:r>
        <w:rPr>
          <w:rFonts w:ascii="Arial" w:eastAsia="Times New Roman" w:hAnsi="Arial" w:cs="Arial"/>
          <w:szCs w:val="20"/>
          <w:lang w:eastAsia="pl-PL"/>
        </w:rPr>
        <w:t xml:space="preserve"> </w:t>
      </w:r>
      <w:r>
        <w:rPr>
          <w:rFonts w:ascii="Arial" w:eastAsia="Times New Roman" w:hAnsi="Arial" w:cs="Arial"/>
          <w:szCs w:val="20"/>
          <w:lang w:eastAsia="pl-PL"/>
        </w:rPr>
        <w:t>Kontrola ta przeprowadzana jest przez Inspektora nadzoru:</w:t>
      </w:r>
    </w:p>
    <w:p w14:paraId="6AB80284" w14:textId="77777777" w:rsidR="002749A9" w:rsidRDefault="002749A9" w:rsidP="00E5226E">
      <w:pPr>
        <w:rPr>
          <w:rFonts w:ascii="Arial" w:eastAsia="Times New Roman" w:hAnsi="Arial" w:cs="Arial"/>
          <w:szCs w:val="20"/>
          <w:lang w:eastAsia="pl-PL"/>
        </w:rPr>
      </w:pPr>
      <w:r>
        <w:rPr>
          <w:rFonts w:ascii="Arial" w:eastAsia="Times New Roman" w:hAnsi="Arial" w:cs="Arial"/>
          <w:szCs w:val="20"/>
          <w:lang w:eastAsia="pl-PL"/>
        </w:rPr>
        <w:t>a) w odniesieniu do prac zanikających (kontrola międzyoperacyjna) –podczas wykonania prac pokrywczych,</w:t>
      </w:r>
    </w:p>
    <w:p w14:paraId="304581A2" w14:textId="1D38CA6C" w:rsidR="002749A9" w:rsidRDefault="002749A9" w:rsidP="00E5226E">
      <w:pPr>
        <w:rPr>
          <w:rFonts w:ascii="Arial" w:eastAsia="Times New Roman" w:hAnsi="Arial" w:cs="Arial"/>
          <w:szCs w:val="20"/>
          <w:lang w:eastAsia="pl-PL"/>
        </w:rPr>
      </w:pPr>
      <w:r>
        <w:rPr>
          <w:rFonts w:ascii="Arial" w:eastAsia="Times New Roman" w:hAnsi="Arial" w:cs="Arial"/>
          <w:szCs w:val="20"/>
          <w:lang w:eastAsia="pl-PL"/>
        </w:rPr>
        <w:t>b)w odniesieniu do właściwości całego pokrycia (kontrola końcową) –po zakończeniu prac</w:t>
      </w:r>
      <w:r>
        <w:rPr>
          <w:rFonts w:ascii="Arial" w:eastAsia="Times New Roman" w:hAnsi="Arial" w:cs="Arial"/>
          <w:szCs w:val="20"/>
          <w:lang w:eastAsia="pl-PL"/>
        </w:rPr>
        <w:t xml:space="preserve"> </w:t>
      </w:r>
      <w:r>
        <w:rPr>
          <w:rFonts w:ascii="Arial" w:eastAsia="Times New Roman" w:hAnsi="Arial" w:cs="Arial"/>
          <w:szCs w:val="20"/>
          <w:lang w:eastAsia="pl-PL"/>
        </w:rPr>
        <w:t>pokrywczych</w:t>
      </w:r>
      <w:r>
        <w:rPr>
          <w:rFonts w:ascii="Arial" w:eastAsia="Times New Roman" w:hAnsi="Arial" w:cs="Arial"/>
          <w:szCs w:val="20"/>
          <w:lang w:eastAsia="pl-PL"/>
        </w:rPr>
        <w:t xml:space="preserve"> i naprawczych</w:t>
      </w:r>
      <w:r>
        <w:rPr>
          <w:rFonts w:ascii="Arial" w:eastAsia="Times New Roman" w:hAnsi="Arial" w:cs="Arial"/>
          <w:szCs w:val="20"/>
          <w:lang w:eastAsia="pl-PL"/>
        </w:rPr>
        <w:t>.</w:t>
      </w:r>
    </w:p>
    <w:p w14:paraId="758AEB1B" w14:textId="26BA489C" w:rsidR="002749A9" w:rsidRDefault="002749A9" w:rsidP="00E5226E">
      <w:pPr>
        <w:rPr>
          <w:rFonts w:ascii="Arial" w:eastAsia="Times New Roman" w:hAnsi="Arial" w:cs="Arial"/>
          <w:szCs w:val="20"/>
          <w:lang w:eastAsia="pl-PL"/>
        </w:rPr>
      </w:pPr>
      <w:r>
        <w:rPr>
          <w:rFonts w:ascii="Arial" w:eastAsia="Times New Roman" w:hAnsi="Arial" w:cs="Arial"/>
          <w:szCs w:val="20"/>
          <w:lang w:eastAsia="pl-PL"/>
        </w:rPr>
        <w:t>6.3 Kontrola jakości</w:t>
      </w:r>
    </w:p>
    <w:p w14:paraId="6D6A610B" w14:textId="77777777" w:rsidR="002749A9" w:rsidRDefault="002749A9" w:rsidP="00E5226E">
      <w:pPr>
        <w:rPr>
          <w:rFonts w:ascii="Arial" w:eastAsia="Times New Roman" w:hAnsi="Arial" w:cs="Arial"/>
          <w:szCs w:val="20"/>
          <w:lang w:eastAsia="pl-PL"/>
        </w:rPr>
      </w:pPr>
      <w:r>
        <w:rPr>
          <w:rFonts w:ascii="Arial" w:eastAsia="Times New Roman" w:hAnsi="Arial" w:cs="Arial"/>
          <w:szCs w:val="20"/>
          <w:lang w:eastAsia="pl-PL"/>
        </w:rPr>
        <w:t>a) Wymagana jakość materiałów powinna być potwierdzona przez producenta przez zaświadczenie o jakości lub znakiem kontroli jakości zamieszczonym na opakowaniu lub innym równo rzędnym dokumentem.</w:t>
      </w:r>
    </w:p>
    <w:p w14:paraId="2519D51D" w14:textId="77777777" w:rsidR="002749A9" w:rsidRDefault="002749A9" w:rsidP="00E5226E">
      <w:pPr>
        <w:rPr>
          <w:rFonts w:ascii="Arial" w:eastAsia="Times New Roman" w:hAnsi="Arial" w:cs="Arial"/>
          <w:szCs w:val="20"/>
          <w:lang w:eastAsia="pl-PL"/>
        </w:rPr>
      </w:pPr>
      <w:r>
        <w:rPr>
          <w:rFonts w:ascii="Arial" w:eastAsia="Times New Roman" w:hAnsi="Arial" w:cs="Arial"/>
          <w:szCs w:val="20"/>
          <w:lang w:eastAsia="pl-PL"/>
        </w:rPr>
        <w:t>b)Materiały dostarczone na budowę bez dokumentów potwierdzających przez producenta ich jakość nie mogą być dopuszczone do stosowania.</w:t>
      </w:r>
    </w:p>
    <w:p w14:paraId="6B118596" w14:textId="53804510" w:rsidR="002749A9" w:rsidRDefault="002749A9" w:rsidP="00E5226E">
      <w:pPr>
        <w:rPr>
          <w:rFonts w:ascii="Arial" w:eastAsia="Times New Roman" w:hAnsi="Arial" w:cs="Arial"/>
          <w:szCs w:val="20"/>
          <w:lang w:eastAsia="pl-PL"/>
        </w:rPr>
      </w:pPr>
      <w:r>
        <w:rPr>
          <w:rFonts w:ascii="Arial" w:eastAsia="Times New Roman" w:hAnsi="Arial" w:cs="Arial"/>
          <w:szCs w:val="20"/>
          <w:lang w:eastAsia="pl-PL"/>
        </w:rPr>
        <w:t>c)Odbiór materiałów powinien obejmować zgodność z dokumentacją projektową oraz sprawdzenie właściwości technicznych tych materiałów z wystawionymi atestami wytwórcy.</w:t>
      </w:r>
      <w:r>
        <w:rPr>
          <w:rFonts w:ascii="Arial" w:eastAsia="Times New Roman" w:hAnsi="Arial" w:cs="Arial"/>
          <w:szCs w:val="20"/>
          <w:lang w:eastAsia="pl-PL"/>
        </w:rPr>
        <w:t xml:space="preserve"> </w:t>
      </w:r>
      <w:r>
        <w:rPr>
          <w:rFonts w:ascii="Arial" w:eastAsia="Times New Roman" w:hAnsi="Arial" w:cs="Arial"/>
          <w:szCs w:val="20"/>
          <w:lang w:eastAsia="pl-PL"/>
        </w:rPr>
        <w:t>W przypadku zastrzeżeń co do zgodności materiału z zaświadczeniem o jakości wystawionym przez producenta –powinien być on zbadany zgodnie z postanowieniami normy państwowej.</w:t>
      </w:r>
    </w:p>
    <w:p w14:paraId="1A3EB358" w14:textId="77777777" w:rsidR="002749A9" w:rsidRDefault="002749A9" w:rsidP="00E5226E">
      <w:pPr>
        <w:rPr>
          <w:rFonts w:ascii="Arial" w:eastAsia="Times New Roman" w:hAnsi="Arial" w:cs="Arial"/>
          <w:szCs w:val="20"/>
          <w:lang w:eastAsia="pl-PL"/>
        </w:rPr>
      </w:pPr>
      <w:r>
        <w:rPr>
          <w:rFonts w:ascii="Arial" w:eastAsia="Times New Roman" w:hAnsi="Arial" w:cs="Arial"/>
          <w:szCs w:val="20"/>
          <w:lang w:eastAsia="pl-PL"/>
        </w:rPr>
        <w:t>d)Nie dopuszcza się stosowania do robót materiałów, których właściwości nie odpowiadają wymaganiom przedmiotowych norm.</w:t>
      </w:r>
    </w:p>
    <w:p w14:paraId="72730784" w14:textId="77777777" w:rsidR="002749A9" w:rsidRDefault="002749A9" w:rsidP="00E5226E">
      <w:pPr>
        <w:rPr>
          <w:rFonts w:ascii="Arial" w:eastAsia="Times New Roman" w:hAnsi="Arial" w:cs="Arial"/>
          <w:szCs w:val="20"/>
          <w:lang w:eastAsia="pl-PL"/>
        </w:rPr>
      </w:pPr>
      <w:r>
        <w:rPr>
          <w:rFonts w:ascii="Arial" w:eastAsia="Times New Roman" w:hAnsi="Arial" w:cs="Arial"/>
          <w:szCs w:val="20"/>
          <w:lang w:eastAsia="pl-PL"/>
        </w:rPr>
        <w:t>e)Nie należy stosować również materiałów przeterminowanych (po okresie gwarancyjnym).</w:t>
      </w:r>
    </w:p>
    <w:p w14:paraId="41F436E8" w14:textId="77777777" w:rsidR="002749A9" w:rsidRDefault="002749A9" w:rsidP="00E5226E">
      <w:pPr>
        <w:rPr>
          <w:rFonts w:ascii="Arial" w:eastAsia="Times New Roman" w:hAnsi="Arial" w:cs="Arial"/>
          <w:szCs w:val="20"/>
          <w:lang w:eastAsia="pl-PL"/>
        </w:rPr>
      </w:pPr>
      <w:r>
        <w:rPr>
          <w:rFonts w:ascii="Arial" w:eastAsia="Times New Roman" w:hAnsi="Arial" w:cs="Arial"/>
          <w:szCs w:val="20"/>
          <w:lang w:eastAsia="pl-PL"/>
        </w:rPr>
        <w:t>f)Wyniki odbiorów materiałów i wyrobów powinny być każdorazowo wpisywane do dziennika budowy.</w:t>
      </w:r>
    </w:p>
    <w:p w14:paraId="50EB481C" w14:textId="77777777" w:rsidR="002749A9" w:rsidRDefault="002749A9" w:rsidP="002749A9">
      <w:pPr>
        <w:pStyle w:val="Nagwek1"/>
        <w:rPr>
          <w:rFonts w:eastAsia="Times New Roman"/>
          <w:lang w:eastAsia="pl-PL"/>
        </w:rPr>
      </w:pPr>
      <w:r>
        <w:rPr>
          <w:rFonts w:eastAsia="Times New Roman"/>
          <w:lang w:eastAsia="pl-PL"/>
        </w:rPr>
        <w:lastRenderedPageBreak/>
        <w:t>7. OBMIAR ROBÓT</w:t>
      </w:r>
    </w:p>
    <w:p w14:paraId="6D3A2E3D" w14:textId="77777777" w:rsidR="002749A9" w:rsidRDefault="002749A9" w:rsidP="00E5226E">
      <w:pPr>
        <w:rPr>
          <w:rFonts w:ascii="Arial" w:eastAsia="SimSun" w:hAnsi="Arial" w:cs="Tahoma"/>
          <w:szCs w:val="20"/>
        </w:rPr>
      </w:pPr>
      <w:r>
        <w:rPr>
          <w:rFonts w:ascii="Arial" w:eastAsia="Times New Roman" w:hAnsi="Arial" w:cs="Arial"/>
          <w:szCs w:val="20"/>
          <w:lang w:eastAsia="pl-PL"/>
        </w:rPr>
        <w:t>7.1 Zasady obmiaru robót pokrywczych</w:t>
      </w:r>
    </w:p>
    <w:p w14:paraId="6C0CD2B8" w14:textId="0A77607A" w:rsidR="002749A9" w:rsidRDefault="002749A9" w:rsidP="00E5226E">
      <w:pPr>
        <w:rPr>
          <w:rFonts w:ascii="Arial" w:hAnsi="Arial"/>
          <w:szCs w:val="20"/>
        </w:rPr>
      </w:pPr>
      <w:r>
        <w:rPr>
          <w:rFonts w:ascii="Arial" w:eastAsia="Times New Roman" w:hAnsi="Arial" w:cs="Arial"/>
          <w:szCs w:val="20"/>
          <w:lang w:eastAsia="pl-PL"/>
        </w:rPr>
        <w:t>P</w:t>
      </w:r>
      <w:r>
        <w:rPr>
          <w:rFonts w:ascii="Arial" w:eastAsia="Times New Roman" w:hAnsi="Arial" w:cs="Arial"/>
          <w:szCs w:val="20"/>
          <w:lang w:eastAsia="pl-PL"/>
        </w:rPr>
        <w:t>owierzchnię pokrycia oblicza się w m2 połaci dachu bez potrącania powierzchni nie pokrytych, zajętych przez urządzenia obce na dachu np. kominy, wyłazy, okienka, wywiewki o ile każde z nich jest mniejsze niż 0,5m2. Przy obliczaniu szerokości połaci z wymiarów jej rzutu podanych w dokumentacji projektowej można korzystać ze współczynników przeliczeniowych podanych w tablicy 0005 KNR 2-02.</w:t>
      </w:r>
    </w:p>
    <w:p w14:paraId="42FCC0B9" w14:textId="77777777" w:rsidR="002749A9" w:rsidRDefault="002749A9" w:rsidP="00E5226E">
      <w:pPr>
        <w:rPr>
          <w:rFonts w:ascii="Arial" w:eastAsia="Times New Roman" w:hAnsi="Arial" w:cs="Arial"/>
          <w:szCs w:val="20"/>
          <w:lang w:eastAsia="pl-PL"/>
        </w:rPr>
      </w:pPr>
      <w:r>
        <w:rPr>
          <w:rFonts w:ascii="Arial" w:eastAsia="Times New Roman" w:hAnsi="Arial" w:cs="Arial"/>
          <w:szCs w:val="20"/>
          <w:lang w:eastAsia="pl-PL"/>
        </w:rPr>
        <w:t>7. 2. Obmiar robót</w:t>
      </w:r>
    </w:p>
    <w:p w14:paraId="757A57FD" w14:textId="77777777" w:rsidR="002749A9" w:rsidRDefault="002749A9" w:rsidP="00E5226E">
      <w:pPr>
        <w:rPr>
          <w:rFonts w:ascii="Arial" w:eastAsia="Times New Roman" w:hAnsi="Arial" w:cs="Arial"/>
          <w:szCs w:val="20"/>
          <w:lang w:eastAsia="pl-PL"/>
        </w:rPr>
      </w:pPr>
      <w:r>
        <w:rPr>
          <w:rFonts w:ascii="Arial" w:eastAsia="Times New Roman" w:hAnsi="Arial" w:cs="Arial"/>
          <w:szCs w:val="20"/>
          <w:lang w:eastAsia="pl-PL"/>
        </w:rPr>
        <w:t>Jednostką obmiarową robót jest:–dla pokryć dachowych i ścian – m2 pokrytej powierzchni</w:t>
      </w:r>
    </w:p>
    <w:p w14:paraId="718E7C7E" w14:textId="2EC8859F" w:rsidR="002749A9" w:rsidRDefault="002749A9" w:rsidP="00E5226E">
      <w:pPr>
        <w:rPr>
          <w:rFonts w:ascii="Arial" w:eastAsia="Times New Roman" w:hAnsi="Arial" w:cs="Arial"/>
          <w:szCs w:val="20"/>
          <w:lang w:eastAsia="pl-PL"/>
        </w:rPr>
      </w:pPr>
      <w:r>
        <w:rPr>
          <w:rFonts w:ascii="Arial" w:eastAsia="Times New Roman" w:hAnsi="Arial" w:cs="Arial"/>
          <w:szCs w:val="20"/>
          <w:lang w:eastAsia="pl-PL"/>
        </w:rPr>
        <w:t>Ilość robót określa się na podstawie projektu z uwzględnieniem zmian zaaprobowanych przez Inspektora Nadzoru i sprawdzonych w naturze.</w:t>
      </w:r>
    </w:p>
    <w:p w14:paraId="67030B6E" w14:textId="77777777" w:rsidR="00123FC3" w:rsidRDefault="00123FC3" w:rsidP="00123FC3">
      <w:pPr>
        <w:pStyle w:val="Nagwek1"/>
        <w:rPr>
          <w:rFonts w:eastAsia="Times New Roman"/>
          <w:lang w:eastAsia="pl-PL"/>
        </w:rPr>
      </w:pPr>
      <w:r>
        <w:rPr>
          <w:rFonts w:eastAsia="Times New Roman"/>
          <w:lang w:eastAsia="pl-PL"/>
        </w:rPr>
        <w:lastRenderedPageBreak/>
        <w:t>9. Podstawa płatności</w:t>
      </w:r>
    </w:p>
    <w:p w14:paraId="7ADA64AE" w14:textId="77777777" w:rsidR="00123FC3" w:rsidRDefault="00123FC3" w:rsidP="00123FC3">
      <w:pPr>
        <w:rPr>
          <w:rFonts w:ascii="Arial" w:eastAsia="Times New Roman" w:hAnsi="Arial" w:cs="Arial"/>
          <w:szCs w:val="20"/>
          <w:lang w:eastAsia="pl-PL"/>
        </w:rPr>
      </w:pPr>
      <w:r>
        <w:rPr>
          <w:rFonts w:ascii="Arial" w:eastAsia="Times New Roman" w:hAnsi="Arial" w:cs="Arial"/>
          <w:szCs w:val="20"/>
          <w:lang w:eastAsia="pl-PL"/>
        </w:rPr>
        <w:t>9.1. Podstawa płatności -zasady ogólne Zasady ogólne dotyczące podstawy płatności podano w SST00pkt 9.</w:t>
      </w:r>
    </w:p>
    <w:p w14:paraId="5DBAEC2B" w14:textId="77777777" w:rsidR="00123FC3" w:rsidRDefault="00123FC3" w:rsidP="00E5226E">
      <w:pPr>
        <w:rPr>
          <w:rFonts w:ascii="Arial" w:eastAsia="Times New Roman" w:hAnsi="Arial" w:cs="Arial"/>
          <w:szCs w:val="20"/>
          <w:lang w:eastAsia="pl-PL"/>
        </w:rPr>
      </w:pPr>
    </w:p>
    <w:p w14:paraId="024AEA15" w14:textId="77777777" w:rsidR="002749A9" w:rsidRDefault="002749A9" w:rsidP="002749A9">
      <w:pPr>
        <w:pStyle w:val="Nagwek1"/>
        <w:rPr>
          <w:rFonts w:eastAsia="Times New Roman"/>
          <w:lang w:eastAsia="pl-PL"/>
        </w:rPr>
      </w:pPr>
      <w:r>
        <w:rPr>
          <w:rFonts w:eastAsia="Times New Roman"/>
          <w:lang w:eastAsia="pl-PL"/>
        </w:rPr>
        <w:lastRenderedPageBreak/>
        <w:t>8. Odbiór robót</w:t>
      </w:r>
    </w:p>
    <w:p w14:paraId="0F02E84C" w14:textId="77777777" w:rsidR="002749A9" w:rsidRDefault="002749A9" w:rsidP="00E5226E">
      <w:pPr>
        <w:rPr>
          <w:rFonts w:ascii="Arial" w:eastAsia="Times New Roman" w:hAnsi="Arial" w:cs="Arial"/>
          <w:szCs w:val="20"/>
          <w:lang w:eastAsia="pl-PL"/>
        </w:rPr>
      </w:pPr>
      <w:r>
        <w:rPr>
          <w:rFonts w:ascii="Arial" w:eastAsia="Times New Roman" w:hAnsi="Arial" w:cs="Arial"/>
          <w:szCs w:val="20"/>
          <w:lang w:eastAsia="pl-PL"/>
        </w:rPr>
        <w:t>8.1.Odbiór podłoża</w:t>
      </w:r>
    </w:p>
    <w:p w14:paraId="7D9655B8" w14:textId="30E1843B" w:rsidR="002749A9" w:rsidRDefault="002749A9" w:rsidP="00E5226E">
      <w:pPr>
        <w:rPr>
          <w:rFonts w:ascii="Arial" w:eastAsia="Times New Roman" w:hAnsi="Arial" w:cs="Arial"/>
          <w:szCs w:val="20"/>
          <w:lang w:eastAsia="pl-PL"/>
        </w:rPr>
      </w:pPr>
      <w:r>
        <w:rPr>
          <w:rFonts w:ascii="Arial" w:eastAsia="Times New Roman" w:hAnsi="Arial" w:cs="Arial"/>
          <w:szCs w:val="20"/>
          <w:lang w:eastAsia="pl-PL"/>
        </w:rPr>
        <w:t xml:space="preserve">- </w:t>
      </w:r>
      <w:r>
        <w:rPr>
          <w:rFonts w:ascii="Arial" w:eastAsia="Times New Roman" w:hAnsi="Arial" w:cs="Arial"/>
          <w:szCs w:val="20"/>
          <w:lang w:eastAsia="pl-PL"/>
        </w:rPr>
        <w:t>badania podłoża należy przeprowadzać w trakcie odbioru częściowego, podczas suchej pogody, przed przystąpieniem do krycia połaci dachowych,</w:t>
      </w:r>
    </w:p>
    <w:p w14:paraId="0B6367D6" w14:textId="332692B6" w:rsidR="002749A9" w:rsidRDefault="002749A9" w:rsidP="00E5226E">
      <w:pPr>
        <w:rPr>
          <w:rFonts w:ascii="Arial" w:eastAsia="Times New Roman" w:hAnsi="Arial" w:cs="Arial"/>
          <w:szCs w:val="20"/>
          <w:lang w:eastAsia="pl-PL"/>
        </w:rPr>
      </w:pPr>
      <w:r>
        <w:rPr>
          <w:rFonts w:ascii="Arial" w:eastAsia="Times New Roman" w:hAnsi="Arial" w:cs="Arial"/>
          <w:szCs w:val="20"/>
          <w:lang w:eastAsia="pl-PL"/>
        </w:rPr>
        <w:t xml:space="preserve">- </w:t>
      </w:r>
      <w:r>
        <w:rPr>
          <w:rFonts w:ascii="Arial" w:eastAsia="Times New Roman" w:hAnsi="Arial" w:cs="Arial"/>
          <w:szCs w:val="20"/>
          <w:lang w:eastAsia="pl-PL"/>
        </w:rPr>
        <w:t>sprawdzenie równości powierzchni podłoża (deskowania) należy przeprowadzać za pomocą łaty kontrolnej o długości 2 m lub za pomocą szablonu z podziałką milimetrową. Prześwit między sprawdzaną powierzchnią a łatą nie powinien przekroczyć 5 mm.8.2.Odbiór robót pokrywczych</w:t>
      </w:r>
    </w:p>
    <w:p w14:paraId="7F93371C" w14:textId="683581C0" w:rsidR="002749A9" w:rsidRDefault="002749A9" w:rsidP="00E5226E">
      <w:pPr>
        <w:rPr>
          <w:rFonts w:ascii="Arial" w:eastAsia="Times New Roman" w:hAnsi="Arial" w:cs="Arial"/>
          <w:szCs w:val="20"/>
          <w:lang w:eastAsia="pl-PL"/>
        </w:rPr>
      </w:pPr>
      <w:r>
        <w:rPr>
          <w:rFonts w:ascii="Arial" w:eastAsia="Times New Roman" w:hAnsi="Arial" w:cs="Arial"/>
          <w:szCs w:val="20"/>
          <w:lang w:eastAsia="pl-PL"/>
        </w:rPr>
        <w:t xml:space="preserve">- </w:t>
      </w:r>
      <w:r>
        <w:rPr>
          <w:rFonts w:ascii="Arial" w:eastAsia="Times New Roman" w:hAnsi="Arial" w:cs="Arial"/>
          <w:szCs w:val="20"/>
          <w:lang w:eastAsia="pl-PL"/>
        </w:rPr>
        <w:t xml:space="preserve">Roboty pokrywcze, jako roboty zanikające, wymagają odbiorów częściowych. Badania </w:t>
      </w:r>
      <w:proofErr w:type="spellStart"/>
      <w:r>
        <w:rPr>
          <w:rFonts w:ascii="Arial" w:eastAsia="Times New Roman" w:hAnsi="Arial" w:cs="Arial"/>
          <w:szCs w:val="20"/>
          <w:lang w:eastAsia="pl-PL"/>
        </w:rPr>
        <w:t>wczasie</w:t>
      </w:r>
      <w:proofErr w:type="spellEnd"/>
      <w:r>
        <w:rPr>
          <w:rFonts w:ascii="Arial" w:eastAsia="Times New Roman" w:hAnsi="Arial" w:cs="Arial"/>
          <w:szCs w:val="20"/>
          <w:lang w:eastAsia="pl-PL"/>
        </w:rPr>
        <w:t xml:space="preserve"> odbioru częściowego należy przeprowadzać dla tych robót, do których dostęp później jest niemożliwy </w:t>
      </w:r>
      <w:proofErr w:type="spellStart"/>
      <w:r>
        <w:rPr>
          <w:rFonts w:ascii="Arial" w:eastAsia="Times New Roman" w:hAnsi="Arial" w:cs="Arial"/>
          <w:szCs w:val="20"/>
          <w:lang w:eastAsia="pl-PL"/>
        </w:rPr>
        <w:t>lubutrudniony</w:t>
      </w:r>
      <w:proofErr w:type="spellEnd"/>
      <w:r>
        <w:rPr>
          <w:rFonts w:ascii="Arial" w:eastAsia="Times New Roman" w:hAnsi="Arial" w:cs="Arial"/>
          <w:szCs w:val="20"/>
          <w:lang w:eastAsia="pl-PL"/>
        </w:rPr>
        <w:t>.</w:t>
      </w:r>
    </w:p>
    <w:p w14:paraId="4DB61A1E" w14:textId="7171C7B3" w:rsidR="002749A9" w:rsidRDefault="002749A9" w:rsidP="00E5226E">
      <w:pPr>
        <w:rPr>
          <w:rFonts w:ascii="Arial" w:eastAsia="Times New Roman" w:hAnsi="Arial" w:cs="Arial"/>
          <w:szCs w:val="20"/>
          <w:lang w:eastAsia="pl-PL"/>
        </w:rPr>
      </w:pPr>
      <w:r>
        <w:rPr>
          <w:rFonts w:ascii="Arial" w:eastAsia="Times New Roman" w:hAnsi="Arial" w:cs="Arial"/>
          <w:szCs w:val="20"/>
          <w:lang w:eastAsia="pl-PL"/>
        </w:rPr>
        <w:t xml:space="preserve">- </w:t>
      </w:r>
      <w:r>
        <w:rPr>
          <w:rFonts w:ascii="Arial" w:eastAsia="Times New Roman" w:hAnsi="Arial" w:cs="Arial"/>
          <w:szCs w:val="20"/>
          <w:lang w:eastAsia="pl-PL"/>
        </w:rPr>
        <w:t xml:space="preserve">badania końcowe pokrycia należy przeprowadzać po zakończeniu robót, po </w:t>
      </w:r>
      <w:proofErr w:type="spellStart"/>
      <w:r>
        <w:rPr>
          <w:rFonts w:ascii="Arial" w:eastAsia="Times New Roman" w:hAnsi="Arial" w:cs="Arial"/>
          <w:szCs w:val="20"/>
          <w:lang w:eastAsia="pl-PL"/>
        </w:rPr>
        <w:t>deszczu.Podstawę</w:t>
      </w:r>
      <w:proofErr w:type="spellEnd"/>
      <w:r>
        <w:rPr>
          <w:rFonts w:ascii="Arial" w:eastAsia="Times New Roman" w:hAnsi="Arial" w:cs="Arial"/>
          <w:szCs w:val="20"/>
          <w:lang w:eastAsia="pl-PL"/>
        </w:rPr>
        <w:t xml:space="preserve"> do odbioru robót pokrywczych stanowią następujące dokumenty:–dokumentacja techniczna,–dziennik budowy z zapisem stwierdzającym odbiór częściowy podłoża oraz poszczególnych warstw lub fragmentów pokrycia,–zapisy dotyczące wykonywania robót pokrywczych i rodzaju zastosowanych materiałów,–</w:t>
      </w:r>
      <w:proofErr w:type="spellStart"/>
      <w:r>
        <w:rPr>
          <w:rFonts w:ascii="Arial" w:eastAsia="Times New Roman" w:hAnsi="Arial" w:cs="Arial"/>
          <w:szCs w:val="20"/>
          <w:lang w:eastAsia="pl-PL"/>
        </w:rPr>
        <w:t>protokóły</w:t>
      </w:r>
      <w:proofErr w:type="spellEnd"/>
      <w:r>
        <w:rPr>
          <w:rFonts w:ascii="Arial" w:eastAsia="Times New Roman" w:hAnsi="Arial" w:cs="Arial"/>
          <w:szCs w:val="20"/>
          <w:lang w:eastAsia="pl-PL"/>
        </w:rPr>
        <w:t xml:space="preserve"> odbioru materiałów i wyrobów.</w:t>
      </w:r>
    </w:p>
    <w:p w14:paraId="5E14CEEF" w14:textId="77777777" w:rsidR="002749A9" w:rsidRDefault="002749A9" w:rsidP="00E5226E">
      <w:pPr>
        <w:rPr>
          <w:rFonts w:ascii="Arial" w:eastAsia="Times New Roman" w:hAnsi="Arial" w:cs="Arial"/>
          <w:szCs w:val="20"/>
          <w:lang w:eastAsia="pl-PL"/>
        </w:rPr>
      </w:pPr>
      <w:r>
        <w:rPr>
          <w:rFonts w:ascii="Arial" w:eastAsia="Times New Roman" w:hAnsi="Arial" w:cs="Arial"/>
          <w:szCs w:val="20"/>
          <w:lang w:eastAsia="pl-PL"/>
        </w:rPr>
        <w:t>Odbiór końcowy polega na dokładnym sprawdzeniu stanu wykonanego pokrycia i obróbek blacharskich i połączenia ich z urządzeniami odwadniającymi, a także wykonania na pokryciu ewentualnych zabezpieczeń eksploatacyjnych.</w:t>
      </w:r>
    </w:p>
    <w:p w14:paraId="5F537F17" w14:textId="77777777" w:rsidR="002749A9" w:rsidRDefault="002749A9" w:rsidP="00E5226E">
      <w:pPr>
        <w:rPr>
          <w:rFonts w:ascii="Arial" w:eastAsia="Times New Roman" w:hAnsi="Arial" w:cs="Arial"/>
          <w:szCs w:val="20"/>
          <w:lang w:eastAsia="pl-PL"/>
        </w:rPr>
      </w:pPr>
      <w:r>
        <w:rPr>
          <w:rFonts w:ascii="Arial" w:eastAsia="Times New Roman" w:hAnsi="Arial" w:cs="Arial"/>
          <w:szCs w:val="20"/>
          <w:lang w:eastAsia="pl-PL"/>
        </w:rPr>
        <w:t>Podstawa płatności</w:t>
      </w:r>
    </w:p>
    <w:p w14:paraId="213F6E26" w14:textId="77777777" w:rsidR="002749A9" w:rsidRDefault="002749A9" w:rsidP="00E5226E">
      <w:pPr>
        <w:rPr>
          <w:rFonts w:ascii="Arial" w:eastAsia="Times New Roman" w:hAnsi="Arial" w:cs="Arial"/>
          <w:szCs w:val="20"/>
          <w:lang w:eastAsia="pl-PL"/>
        </w:rPr>
      </w:pPr>
    </w:p>
    <w:p w14:paraId="197164A6" w14:textId="77777777" w:rsidR="002749A9" w:rsidRDefault="002749A9" w:rsidP="00E5226E">
      <w:pPr>
        <w:rPr>
          <w:rFonts w:ascii="Arial" w:eastAsia="Times New Roman" w:hAnsi="Arial" w:cs="Arial"/>
          <w:szCs w:val="20"/>
          <w:lang w:eastAsia="pl-PL"/>
        </w:rPr>
      </w:pPr>
      <w:r>
        <w:rPr>
          <w:rFonts w:ascii="Arial" w:eastAsia="Times New Roman" w:hAnsi="Arial" w:cs="Arial"/>
          <w:szCs w:val="20"/>
          <w:lang w:eastAsia="pl-PL"/>
        </w:rPr>
        <w:t>10. Przepisy związane</w:t>
      </w:r>
    </w:p>
    <w:p w14:paraId="2E2EFAAA" w14:textId="77777777" w:rsidR="002749A9" w:rsidRPr="002749A9" w:rsidRDefault="002749A9" w:rsidP="002749A9">
      <w:pPr>
        <w:pStyle w:val="Akapitzlist"/>
        <w:numPr>
          <w:ilvl w:val="0"/>
          <w:numId w:val="49"/>
        </w:numPr>
        <w:rPr>
          <w:rFonts w:ascii="Arial" w:eastAsia="Times New Roman" w:hAnsi="Arial" w:cs="Arial"/>
          <w:szCs w:val="20"/>
          <w:lang w:eastAsia="pl-PL"/>
        </w:rPr>
      </w:pPr>
      <w:r w:rsidRPr="002749A9">
        <w:rPr>
          <w:rFonts w:ascii="Arial" w:eastAsia="Times New Roman" w:hAnsi="Arial" w:cs="Arial"/>
          <w:szCs w:val="20"/>
          <w:lang w:eastAsia="pl-PL"/>
        </w:rPr>
        <w:t>Roboty blacharskie budowlane z blachy stalowej ocynkowanej i cynkowej. Wymagania i badania techniczne przy odbiorze.PN-71/B-10241</w:t>
      </w:r>
    </w:p>
    <w:p w14:paraId="5B5314BD" w14:textId="6520BF8D" w:rsidR="002749A9" w:rsidRPr="002749A9" w:rsidRDefault="002749A9" w:rsidP="002749A9">
      <w:pPr>
        <w:pStyle w:val="Akapitzlist"/>
        <w:numPr>
          <w:ilvl w:val="0"/>
          <w:numId w:val="49"/>
        </w:numPr>
        <w:rPr>
          <w:rFonts w:ascii="Arial" w:eastAsia="Times New Roman" w:hAnsi="Arial" w:cs="Arial"/>
          <w:szCs w:val="20"/>
          <w:lang w:eastAsia="pl-PL"/>
        </w:rPr>
      </w:pPr>
      <w:r w:rsidRPr="002749A9">
        <w:rPr>
          <w:rFonts w:ascii="Arial" w:eastAsia="Times New Roman" w:hAnsi="Arial" w:cs="Arial"/>
          <w:szCs w:val="20"/>
          <w:lang w:eastAsia="pl-PL"/>
        </w:rPr>
        <w:t xml:space="preserve">PN-77/B-02011 </w:t>
      </w:r>
      <w:proofErr w:type="spellStart"/>
      <w:r w:rsidRPr="002749A9">
        <w:rPr>
          <w:rFonts w:ascii="Arial" w:eastAsia="Times New Roman" w:hAnsi="Arial" w:cs="Arial"/>
          <w:szCs w:val="20"/>
          <w:lang w:eastAsia="pl-PL"/>
        </w:rPr>
        <w:t>Obciażenia</w:t>
      </w:r>
      <w:proofErr w:type="spellEnd"/>
      <w:r w:rsidRPr="002749A9">
        <w:rPr>
          <w:rFonts w:ascii="Arial" w:eastAsia="Times New Roman" w:hAnsi="Arial" w:cs="Arial"/>
          <w:szCs w:val="20"/>
          <w:lang w:eastAsia="pl-PL"/>
        </w:rPr>
        <w:t xml:space="preserve"> w obliczeniach statycznych. </w:t>
      </w:r>
      <w:r w:rsidRPr="002749A9">
        <w:rPr>
          <w:rFonts w:ascii="Arial" w:eastAsia="Times New Roman" w:hAnsi="Arial" w:cs="Arial"/>
          <w:szCs w:val="20"/>
          <w:lang w:eastAsia="pl-PL"/>
        </w:rPr>
        <w:t>Obciążenie</w:t>
      </w:r>
      <w:r w:rsidRPr="002749A9">
        <w:rPr>
          <w:rFonts w:ascii="Arial" w:eastAsia="Times New Roman" w:hAnsi="Arial" w:cs="Arial"/>
          <w:szCs w:val="20"/>
          <w:lang w:eastAsia="pl-PL"/>
        </w:rPr>
        <w:t xml:space="preserve"> wiatrem. PN-B-02361:1999 Pochylenia połaci dachowych.</w:t>
      </w:r>
    </w:p>
    <w:p w14:paraId="1D4F6D5B" w14:textId="77777777" w:rsidR="002749A9" w:rsidRPr="002749A9" w:rsidRDefault="002749A9" w:rsidP="002749A9">
      <w:pPr>
        <w:pStyle w:val="Akapitzlist"/>
        <w:numPr>
          <w:ilvl w:val="0"/>
          <w:numId w:val="49"/>
        </w:numPr>
        <w:rPr>
          <w:rFonts w:ascii="Arial" w:eastAsia="Times New Roman" w:hAnsi="Arial" w:cs="Arial"/>
          <w:szCs w:val="20"/>
          <w:lang w:eastAsia="pl-PL"/>
        </w:rPr>
      </w:pPr>
      <w:r w:rsidRPr="002749A9">
        <w:rPr>
          <w:rFonts w:ascii="Arial" w:eastAsia="Times New Roman" w:hAnsi="Arial" w:cs="Arial"/>
          <w:szCs w:val="20"/>
          <w:lang w:eastAsia="pl-PL"/>
        </w:rPr>
        <w:t>PN-61/B-10245 Roboty blacharskie budowlane z blachy stalowej ocynkowanej i cynkowej. Wymagania i badania techniczne przy odbiorze.</w:t>
      </w:r>
    </w:p>
    <w:p w14:paraId="0B22F59B" w14:textId="77777777" w:rsidR="002749A9" w:rsidRPr="002749A9" w:rsidRDefault="002749A9" w:rsidP="002749A9">
      <w:pPr>
        <w:pStyle w:val="Akapitzlist"/>
        <w:numPr>
          <w:ilvl w:val="0"/>
          <w:numId w:val="49"/>
        </w:numPr>
        <w:rPr>
          <w:rFonts w:ascii="Arial" w:eastAsia="Times New Roman" w:hAnsi="Arial" w:cs="Arial"/>
          <w:szCs w:val="20"/>
          <w:lang w:eastAsia="pl-PL"/>
        </w:rPr>
      </w:pPr>
      <w:r w:rsidRPr="002749A9">
        <w:rPr>
          <w:rFonts w:ascii="Arial" w:eastAsia="Times New Roman" w:hAnsi="Arial" w:cs="Arial"/>
          <w:szCs w:val="20"/>
          <w:lang w:eastAsia="pl-PL"/>
        </w:rPr>
        <w:t>PN-B-94701:1999 Dachy. Uchwyty stalowe ocynkowane do rur spustowych okrągłych.</w:t>
      </w:r>
    </w:p>
    <w:p w14:paraId="573501F7" w14:textId="77777777" w:rsidR="002749A9" w:rsidRPr="002749A9" w:rsidRDefault="002749A9" w:rsidP="002749A9">
      <w:pPr>
        <w:pStyle w:val="Akapitzlist"/>
        <w:numPr>
          <w:ilvl w:val="0"/>
          <w:numId w:val="49"/>
        </w:numPr>
        <w:rPr>
          <w:rFonts w:ascii="Arial" w:eastAsia="Times New Roman" w:hAnsi="Arial" w:cs="Arial"/>
          <w:szCs w:val="20"/>
          <w:lang w:eastAsia="pl-PL"/>
        </w:rPr>
      </w:pPr>
      <w:r w:rsidRPr="002749A9">
        <w:rPr>
          <w:rFonts w:ascii="Arial" w:eastAsia="Times New Roman" w:hAnsi="Arial" w:cs="Arial"/>
          <w:szCs w:val="20"/>
          <w:lang w:eastAsia="pl-PL"/>
        </w:rPr>
        <w:t>PN-EN 1462:2001 Uchwyty do rynien okapowych. Wymagania i badania.</w:t>
      </w:r>
    </w:p>
    <w:p w14:paraId="27994596" w14:textId="77777777" w:rsidR="002749A9" w:rsidRPr="002749A9" w:rsidRDefault="002749A9" w:rsidP="002749A9">
      <w:pPr>
        <w:pStyle w:val="Akapitzlist"/>
        <w:numPr>
          <w:ilvl w:val="0"/>
          <w:numId w:val="49"/>
        </w:numPr>
        <w:rPr>
          <w:rFonts w:ascii="Arial" w:eastAsia="Times New Roman" w:hAnsi="Arial" w:cs="Arial"/>
          <w:szCs w:val="20"/>
          <w:lang w:eastAsia="pl-PL"/>
        </w:rPr>
      </w:pPr>
      <w:r w:rsidRPr="002749A9">
        <w:rPr>
          <w:rFonts w:ascii="Arial" w:eastAsia="Times New Roman" w:hAnsi="Arial" w:cs="Arial"/>
          <w:szCs w:val="20"/>
          <w:lang w:eastAsia="pl-PL"/>
        </w:rPr>
        <w:t>PN-EN 612:1999 Rynny dachowe i rury spustowe z blachy. Definicje, podział i wymagania.</w:t>
      </w:r>
    </w:p>
    <w:p w14:paraId="3E0F51B3" w14:textId="77777777" w:rsidR="002749A9" w:rsidRPr="002749A9" w:rsidRDefault="002749A9" w:rsidP="002749A9">
      <w:pPr>
        <w:pStyle w:val="Akapitzlist"/>
        <w:numPr>
          <w:ilvl w:val="0"/>
          <w:numId w:val="49"/>
        </w:numPr>
        <w:rPr>
          <w:rFonts w:ascii="Arial" w:eastAsia="Times New Roman" w:hAnsi="Arial" w:cs="Arial"/>
          <w:szCs w:val="20"/>
          <w:lang w:eastAsia="pl-PL"/>
        </w:rPr>
      </w:pPr>
      <w:r w:rsidRPr="002749A9">
        <w:rPr>
          <w:rFonts w:ascii="Arial" w:eastAsia="Times New Roman" w:hAnsi="Arial" w:cs="Arial"/>
          <w:szCs w:val="20"/>
          <w:lang w:eastAsia="pl-PL"/>
        </w:rPr>
        <w:t xml:space="preserve">PN-B-94702:1999 Dachy. Uchwyty stalowe ocynkowane do rynien </w:t>
      </w:r>
      <w:proofErr w:type="spellStart"/>
      <w:r w:rsidRPr="002749A9">
        <w:rPr>
          <w:rFonts w:ascii="Arial" w:eastAsia="Times New Roman" w:hAnsi="Arial" w:cs="Arial"/>
          <w:szCs w:val="20"/>
          <w:lang w:eastAsia="pl-PL"/>
        </w:rPr>
        <w:t>półokragłych</w:t>
      </w:r>
      <w:proofErr w:type="spellEnd"/>
      <w:r w:rsidRPr="002749A9">
        <w:rPr>
          <w:rFonts w:ascii="Arial" w:eastAsia="Times New Roman" w:hAnsi="Arial" w:cs="Arial"/>
          <w:szCs w:val="20"/>
          <w:lang w:eastAsia="pl-PL"/>
        </w:rPr>
        <w:t>.</w:t>
      </w:r>
    </w:p>
    <w:p w14:paraId="6CBE216F" w14:textId="461BD6C0" w:rsidR="002749A9" w:rsidRDefault="002749A9" w:rsidP="002749A9">
      <w:pPr>
        <w:pStyle w:val="Standard"/>
        <w:numPr>
          <w:ilvl w:val="0"/>
          <w:numId w:val="49"/>
        </w:numPr>
        <w:spacing w:after="0" w:line="360" w:lineRule="auto"/>
        <w:rPr>
          <w:rFonts w:ascii="Arial" w:eastAsia="Times New Roman" w:hAnsi="Arial" w:cs="Arial"/>
          <w:sz w:val="20"/>
          <w:szCs w:val="20"/>
          <w:lang w:eastAsia="pl-PL"/>
        </w:rPr>
      </w:pPr>
      <w:r>
        <w:rPr>
          <w:rFonts w:ascii="Arial" w:eastAsia="Times New Roman" w:hAnsi="Arial" w:cs="Arial"/>
          <w:sz w:val="20"/>
          <w:szCs w:val="20"/>
          <w:lang w:eastAsia="pl-PL"/>
        </w:rPr>
        <w:t xml:space="preserve">PN-EN 607:1999 Rynny dachowe i elementy </w:t>
      </w:r>
      <w:r>
        <w:rPr>
          <w:rFonts w:ascii="Arial" w:eastAsia="Times New Roman" w:hAnsi="Arial" w:cs="Arial"/>
          <w:sz w:val="20"/>
          <w:szCs w:val="20"/>
          <w:lang w:eastAsia="pl-PL"/>
        </w:rPr>
        <w:t>wyposażenia</w:t>
      </w:r>
      <w:r>
        <w:rPr>
          <w:rFonts w:ascii="Arial" w:eastAsia="Times New Roman" w:hAnsi="Arial" w:cs="Arial"/>
          <w:sz w:val="20"/>
          <w:szCs w:val="20"/>
          <w:lang w:eastAsia="pl-PL"/>
        </w:rPr>
        <w:t xml:space="preserve"> z PCV-U. Definicje, wymagania i badania.</w:t>
      </w:r>
    </w:p>
    <w:p w14:paraId="55157E42" w14:textId="77777777" w:rsidR="002749A9" w:rsidRDefault="002749A9" w:rsidP="00E5226E">
      <w:pPr>
        <w:pStyle w:val="Standard"/>
        <w:spacing w:after="0" w:line="360" w:lineRule="auto"/>
        <w:rPr>
          <w:rFonts w:ascii="Arial" w:eastAsia="Times New Roman" w:hAnsi="Arial" w:cs="Arial"/>
          <w:sz w:val="20"/>
          <w:szCs w:val="20"/>
          <w:lang w:eastAsia="pl-PL"/>
        </w:rPr>
      </w:pPr>
    </w:p>
    <w:p w14:paraId="34998936" w14:textId="77777777" w:rsidR="002749A9" w:rsidRPr="00C20C19" w:rsidRDefault="002749A9" w:rsidP="00E5226E">
      <w:pPr>
        <w:pStyle w:val="Tytu"/>
      </w:pPr>
    </w:p>
    <w:sectPr w:rsidR="002749A9" w:rsidRPr="00C20C19" w:rsidSect="009011EE">
      <w:headerReference w:type="default" r:id="rId7"/>
      <w:footerReference w:type="default" r:id="rId8"/>
      <w:pgSz w:w="11906" w:h="16838" w:code="9"/>
      <w:pgMar w:top="851" w:right="851" w:bottom="851" w:left="85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79E3E3A" w14:textId="77777777" w:rsidR="00136FDD" w:rsidRDefault="00136FDD" w:rsidP="004A6186">
      <w:r>
        <w:separator/>
      </w:r>
    </w:p>
  </w:endnote>
  <w:endnote w:type="continuationSeparator" w:id="0">
    <w:p w14:paraId="3E8D5C80" w14:textId="77777777" w:rsidR="00136FDD" w:rsidRDefault="00136FDD" w:rsidP="004A61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GillSansMT">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GillSansMT,Bold">
    <w:altName w:val="MS Mincho"/>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Wyrnieniedelikatne"/>
      </w:rPr>
      <w:id w:val="-2058919153"/>
      <w:docPartObj>
        <w:docPartGallery w:val="Page Numbers (Bottom of Page)"/>
        <w:docPartUnique/>
      </w:docPartObj>
    </w:sdtPr>
    <w:sdtEndPr>
      <w:rPr>
        <w:rStyle w:val="Wyrnieniedelikatne"/>
      </w:rPr>
    </w:sdtEndPr>
    <w:sdtContent>
      <w:sdt>
        <w:sdtPr>
          <w:rPr>
            <w:rStyle w:val="Wyrnieniedelikatne"/>
          </w:rPr>
          <w:id w:val="2091961786"/>
          <w:docPartObj>
            <w:docPartGallery w:val="Page Numbers (Top of Page)"/>
            <w:docPartUnique/>
          </w:docPartObj>
        </w:sdtPr>
        <w:sdtEndPr>
          <w:rPr>
            <w:rStyle w:val="Wyrnieniedelikatne"/>
          </w:rPr>
        </w:sdtEndPr>
        <w:sdtContent>
          <w:p w14:paraId="0CBEB6A1" w14:textId="77777777" w:rsidR="000C4CCF" w:rsidRPr="005171CB" w:rsidRDefault="000C4CCF" w:rsidP="005171CB">
            <w:pPr>
              <w:pStyle w:val="Podtytu"/>
              <w:rPr>
                <w:rStyle w:val="Wyrnieniedelikatne"/>
              </w:rPr>
            </w:pPr>
            <w:r w:rsidRPr="005171CB">
              <w:rPr>
                <w:rStyle w:val="Wyrnieniedelikatne"/>
              </w:rPr>
              <w:t xml:space="preserve">Strona </w:t>
            </w:r>
            <w:r w:rsidRPr="005171CB">
              <w:rPr>
                <w:rStyle w:val="Wyrnieniedelikatne"/>
              </w:rPr>
              <w:fldChar w:fldCharType="begin"/>
            </w:r>
            <w:r w:rsidRPr="005171CB">
              <w:rPr>
                <w:rStyle w:val="Wyrnieniedelikatne"/>
              </w:rPr>
              <w:instrText>PAGE</w:instrText>
            </w:r>
            <w:r w:rsidRPr="005171CB">
              <w:rPr>
                <w:rStyle w:val="Wyrnieniedelikatne"/>
              </w:rPr>
              <w:fldChar w:fldCharType="separate"/>
            </w:r>
            <w:r w:rsidR="0031539A">
              <w:rPr>
                <w:rStyle w:val="Wyrnieniedelikatne"/>
                <w:noProof/>
              </w:rPr>
              <w:t>2</w:t>
            </w:r>
            <w:r w:rsidRPr="005171CB">
              <w:rPr>
                <w:rStyle w:val="Wyrnieniedelikatne"/>
              </w:rPr>
              <w:fldChar w:fldCharType="end"/>
            </w:r>
            <w:r w:rsidRPr="005171CB">
              <w:rPr>
                <w:rStyle w:val="Wyrnieniedelikatne"/>
              </w:rPr>
              <w:t xml:space="preserve"> z </w:t>
            </w:r>
            <w:r w:rsidRPr="005171CB">
              <w:rPr>
                <w:rStyle w:val="Wyrnieniedelikatne"/>
              </w:rPr>
              <w:fldChar w:fldCharType="begin"/>
            </w:r>
            <w:r w:rsidRPr="005171CB">
              <w:rPr>
                <w:rStyle w:val="Wyrnieniedelikatne"/>
              </w:rPr>
              <w:instrText>NUMPAGES</w:instrText>
            </w:r>
            <w:r w:rsidRPr="005171CB">
              <w:rPr>
                <w:rStyle w:val="Wyrnieniedelikatne"/>
              </w:rPr>
              <w:fldChar w:fldCharType="separate"/>
            </w:r>
            <w:r w:rsidR="0031539A">
              <w:rPr>
                <w:rStyle w:val="Wyrnieniedelikatne"/>
                <w:noProof/>
              </w:rPr>
              <w:t>23</w:t>
            </w:r>
            <w:r w:rsidRPr="005171CB">
              <w:rPr>
                <w:rStyle w:val="Wyrnieniedelikatne"/>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1293E5C" w14:textId="77777777" w:rsidR="00136FDD" w:rsidRDefault="00136FDD" w:rsidP="004A6186">
      <w:r>
        <w:separator/>
      </w:r>
    </w:p>
  </w:footnote>
  <w:footnote w:type="continuationSeparator" w:id="0">
    <w:p w14:paraId="3423D7C6" w14:textId="77777777" w:rsidR="00136FDD" w:rsidRDefault="00136FDD" w:rsidP="004A61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8DABD2" w14:textId="5A1D1103" w:rsidR="000C4CCF" w:rsidRPr="004A6186" w:rsidRDefault="000C4CCF" w:rsidP="005171CB">
    <w:pPr>
      <w:pStyle w:val="Podtytu"/>
    </w:pPr>
    <w:r w:rsidRPr="00A562C5">
      <w:t>SPECYFIKACJE TECHNICZNE WYKONANIA I OBIORU ROBOT BUDOWLANYCH</w:t>
    </w:r>
    <w:r w:rsidR="004A6186">
      <w:br/>
    </w:r>
    <w:r w:rsidR="002749A9" w:rsidRPr="002749A9">
      <w:rPr>
        <w:rFonts w:cs="GillSansMT,Bold"/>
        <w:bCs/>
      </w:rPr>
      <w:t>WYKONANIE I ODBIÓR POKRYĆ DACHOWYCH ORAZ UZUPEŁNIENIA ŁĄCZEŃ ŚCIAN</w:t>
    </w:r>
    <w:r w:rsidR="002749A9">
      <w:rPr>
        <w:rFonts w:cs="GillSansMT,Bold"/>
        <w:bCs/>
      </w:rPr>
      <w:t xml:space="preserve"> </w:t>
    </w:r>
    <w:r w:rsidR="00A562C5" w:rsidRPr="00A562C5">
      <w:t>- KOD CPV 45000000-7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6125B6"/>
    <w:multiLevelType w:val="hybridMultilevel"/>
    <w:tmpl w:val="D1CE5E32"/>
    <w:lvl w:ilvl="0" w:tplc="04150011">
      <w:start w:val="1"/>
      <w:numFmt w:val="decimal"/>
      <w:lvlText w:val="%1)"/>
      <w:lvlJc w:val="left"/>
      <w:pPr>
        <w:ind w:left="360" w:hanging="360"/>
      </w:pPr>
      <w:rPr>
        <w:rFont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 w15:restartNumberingAfterBreak="0">
    <w:nsid w:val="00F615EB"/>
    <w:multiLevelType w:val="hybridMultilevel"/>
    <w:tmpl w:val="171E449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4607AFA"/>
    <w:multiLevelType w:val="hybridMultilevel"/>
    <w:tmpl w:val="ABF2E442"/>
    <w:lvl w:ilvl="0" w:tplc="05A4BC34">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 w15:restartNumberingAfterBreak="0">
    <w:nsid w:val="0A2443DF"/>
    <w:multiLevelType w:val="multilevel"/>
    <w:tmpl w:val="0DEEA94A"/>
    <w:lvl w:ilvl="0">
      <w:start w:val="9"/>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 w15:restartNumberingAfterBreak="0">
    <w:nsid w:val="0A7E30AC"/>
    <w:multiLevelType w:val="hybridMultilevel"/>
    <w:tmpl w:val="9F282B8A"/>
    <w:lvl w:ilvl="0" w:tplc="95E87B24">
      <w:numFmt w:val="bullet"/>
      <w:lvlText w:val="·"/>
      <w:lvlJc w:val="left"/>
      <w:pPr>
        <w:ind w:left="720" w:hanging="360"/>
      </w:pPr>
      <w:rPr>
        <w:rFonts w:ascii="Calibri" w:eastAsiaTheme="minorHAnsi" w:hAnsi="Calibri" w:cs="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A841DF7"/>
    <w:multiLevelType w:val="hybridMultilevel"/>
    <w:tmpl w:val="967C8EC0"/>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6" w15:restartNumberingAfterBreak="0">
    <w:nsid w:val="0EB15B2E"/>
    <w:multiLevelType w:val="hybridMultilevel"/>
    <w:tmpl w:val="7E1C79EA"/>
    <w:lvl w:ilvl="0" w:tplc="0415000F">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7" w15:restartNumberingAfterBreak="0">
    <w:nsid w:val="1238196E"/>
    <w:multiLevelType w:val="hybridMultilevel"/>
    <w:tmpl w:val="70BAF36A"/>
    <w:lvl w:ilvl="0" w:tplc="1A8CB25C">
      <w:start w:val="1"/>
      <w:numFmt w:val="bullet"/>
      <w:lvlText w:val="·"/>
      <w:lvlJc w:val="left"/>
      <w:pPr>
        <w:ind w:left="720" w:hanging="360"/>
      </w:pPr>
      <w:rPr>
        <w:rFonts w:ascii="Calibri" w:eastAsiaTheme="minorHAnsi" w:hAnsi="Calibri" w:cs="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69F0B6A"/>
    <w:multiLevelType w:val="hybridMultilevel"/>
    <w:tmpl w:val="771A8AD0"/>
    <w:lvl w:ilvl="0" w:tplc="3982833E">
      <w:start w:val="1"/>
      <w:numFmt w:val="lowerLetter"/>
      <w:lvlText w:val="(%1)"/>
      <w:lvlJc w:val="left"/>
      <w:pPr>
        <w:ind w:left="1143" w:hanging="435"/>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9" w15:restartNumberingAfterBreak="0">
    <w:nsid w:val="1B8E40C0"/>
    <w:multiLevelType w:val="hybridMultilevel"/>
    <w:tmpl w:val="1A1AD218"/>
    <w:lvl w:ilvl="0" w:tplc="1A8CB25C">
      <w:start w:val="1"/>
      <w:numFmt w:val="bullet"/>
      <w:lvlText w:val="·"/>
      <w:lvlJc w:val="left"/>
      <w:pPr>
        <w:ind w:left="720" w:hanging="360"/>
      </w:pPr>
      <w:rPr>
        <w:rFonts w:ascii="Calibri" w:eastAsiaTheme="minorHAnsi" w:hAnsi="Calibri" w:cs="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C274C77"/>
    <w:multiLevelType w:val="multilevel"/>
    <w:tmpl w:val="639A9520"/>
    <w:lvl w:ilvl="0">
      <w:start w:val="5"/>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 w15:restartNumberingAfterBreak="0">
    <w:nsid w:val="1D987E67"/>
    <w:multiLevelType w:val="hybridMultilevel"/>
    <w:tmpl w:val="F4527E08"/>
    <w:lvl w:ilvl="0" w:tplc="1C6A62AC">
      <w:start w:val="1"/>
      <w:numFmt w:val="decimal"/>
      <w:lvlText w:val="%1."/>
      <w:lvlJc w:val="left"/>
      <w:pPr>
        <w:ind w:left="1068" w:hanging="360"/>
      </w:pPr>
      <w:rPr>
        <w:rFonts w:eastAsiaTheme="minorHAnsi" w:cs="Arial" w:hint="default"/>
      </w:r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2" w15:restartNumberingAfterBreak="0">
    <w:nsid w:val="1E9C71C0"/>
    <w:multiLevelType w:val="hybridMultilevel"/>
    <w:tmpl w:val="248C721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2833F02"/>
    <w:multiLevelType w:val="hybridMultilevel"/>
    <w:tmpl w:val="DF26693A"/>
    <w:lvl w:ilvl="0" w:tplc="04150011">
      <w:start w:val="1"/>
      <w:numFmt w:val="decimal"/>
      <w:lvlText w:val="%1)"/>
      <w:lvlJc w:val="left"/>
      <w:pPr>
        <w:ind w:left="360" w:hanging="360"/>
      </w:pPr>
      <w:rPr>
        <w:rFont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4" w15:restartNumberingAfterBreak="0">
    <w:nsid w:val="24503821"/>
    <w:multiLevelType w:val="hybridMultilevel"/>
    <w:tmpl w:val="1C843B12"/>
    <w:lvl w:ilvl="0" w:tplc="04150001">
      <w:start w:val="1"/>
      <w:numFmt w:val="bullet"/>
      <w:lvlText w:val=""/>
      <w:lvlJc w:val="left"/>
      <w:pPr>
        <w:ind w:left="1068" w:hanging="360"/>
      </w:pPr>
      <w:rPr>
        <w:rFonts w:ascii="Symbol" w:hAnsi="Symbol"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5" w15:restartNumberingAfterBreak="0">
    <w:nsid w:val="246C0802"/>
    <w:multiLevelType w:val="hybridMultilevel"/>
    <w:tmpl w:val="D91CA3D8"/>
    <w:lvl w:ilvl="0" w:tplc="04150001">
      <w:start w:val="1"/>
      <w:numFmt w:val="bullet"/>
      <w:lvlText w:val=""/>
      <w:lvlJc w:val="left"/>
      <w:pPr>
        <w:ind w:left="1068" w:hanging="360"/>
      </w:pPr>
      <w:rPr>
        <w:rFonts w:ascii="Symbol" w:hAnsi="Symbol"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6" w15:restartNumberingAfterBreak="0">
    <w:nsid w:val="24DE1F8E"/>
    <w:multiLevelType w:val="hybridMultilevel"/>
    <w:tmpl w:val="761A5B5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251F4614"/>
    <w:multiLevelType w:val="hybridMultilevel"/>
    <w:tmpl w:val="0E88D04A"/>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8" w15:restartNumberingAfterBreak="0">
    <w:nsid w:val="293B75DC"/>
    <w:multiLevelType w:val="hybridMultilevel"/>
    <w:tmpl w:val="C99E4D10"/>
    <w:lvl w:ilvl="0" w:tplc="04150001">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19" w15:restartNumberingAfterBreak="0">
    <w:nsid w:val="34D87417"/>
    <w:multiLevelType w:val="hybridMultilevel"/>
    <w:tmpl w:val="D9F418EC"/>
    <w:lvl w:ilvl="0" w:tplc="04150019">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0" w15:restartNumberingAfterBreak="0">
    <w:nsid w:val="36216055"/>
    <w:multiLevelType w:val="hybridMultilevel"/>
    <w:tmpl w:val="F5AC6EA0"/>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21" w15:restartNumberingAfterBreak="0">
    <w:nsid w:val="386415D2"/>
    <w:multiLevelType w:val="hybridMultilevel"/>
    <w:tmpl w:val="D624B7CE"/>
    <w:lvl w:ilvl="0" w:tplc="AE0EE104">
      <w:start w:val="1"/>
      <w:numFmt w:val="lowerLetter"/>
      <w:lvlText w:val="%1)"/>
      <w:lvlJc w:val="left"/>
      <w:pPr>
        <w:ind w:left="1068" w:hanging="360"/>
      </w:pPr>
      <w:rPr>
        <w:rFonts w:eastAsiaTheme="minorHAnsi" w:cs="Times New Roman"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2" w15:restartNumberingAfterBreak="0">
    <w:nsid w:val="3CF835CE"/>
    <w:multiLevelType w:val="hybridMultilevel"/>
    <w:tmpl w:val="C1C42090"/>
    <w:lvl w:ilvl="0" w:tplc="04150001">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23" w15:restartNumberingAfterBreak="0">
    <w:nsid w:val="42295210"/>
    <w:multiLevelType w:val="hybridMultilevel"/>
    <w:tmpl w:val="ED36CE42"/>
    <w:lvl w:ilvl="0" w:tplc="04150001">
      <w:start w:val="1"/>
      <w:numFmt w:val="bullet"/>
      <w:lvlText w:val=""/>
      <w:lvlJc w:val="left"/>
      <w:pPr>
        <w:ind w:left="1068" w:hanging="360"/>
      </w:pPr>
      <w:rPr>
        <w:rFonts w:ascii="Symbol" w:hAnsi="Symbol"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4" w15:restartNumberingAfterBreak="0">
    <w:nsid w:val="45200C6F"/>
    <w:multiLevelType w:val="hybridMultilevel"/>
    <w:tmpl w:val="6C2C6A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495201CC"/>
    <w:multiLevelType w:val="hybridMultilevel"/>
    <w:tmpl w:val="4F98F37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49EC1623"/>
    <w:multiLevelType w:val="hybridMultilevel"/>
    <w:tmpl w:val="05D4145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4C2330D1"/>
    <w:multiLevelType w:val="hybridMultilevel"/>
    <w:tmpl w:val="DB6EB34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38423C7"/>
    <w:multiLevelType w:val="hybridMultilevel"/>
    <w:tmpl w:val="83049AFE"/>
    <w:lvl w:ilvl="0" w:tplc="04150001">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29" w15:restartNumberingAfterBreak="0">
    <w:nsid w:val="54115A1B"/>
    <w:multiLevelType w:val="multilevel"/>
    <w:tmpl w:val="0444F496"/>
    <w:lvl w:ilvl="0">
      <w:start w:val="3"/>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0" w15:restartNumberingAfterBreak="0">
    <w:nsid w:val="56316DDC"/>
    <w:multiLevelType w:val="hybridMultilevel"/>
    <w:tmpl w:val="2376B65E"/>
    <w:lvl w:ilvl="0" w:tplc="BB30AB6E">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1" w15:restartNumberingAfterBreak="0">
    <w:nsid w:val="595C771F"/>
    <w:multiLevelType w:val="hybridMultilevel"/>
    <w:tmpl w:val="7D8A93CA"/>
    <w:lvl w:ilvl="0" w:tplc="0415000F">
      <w:start w:val="1"/>
      <w:numFmt w:val="decimal"/>
      <w:lvlText w:val="%1."/>
      <w:lvlJc w:val="left"/>
      <w:pPr>
        <w:ind w:left="360" w:hanging="360"/>
      </w:pPr>
      <w:rPr>
        <w:rFont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2" w15:restartNumberingAfterBreak="0">
    <w:nsid w:val="5C6D1DC5"/>
    <w:multiLevelType w:val="multilevel"/>
    <w:tmpl w:val="8DFA56F4"/>
    <w:lvl w:ilvl="0">
      <w:start w:val="2"/>
      <w:numFmt w:val="decimal"/>
      <w:lvlText w:val="%1."/>
      <w:lvlJc w:val="left"/>
      <w:pPr>
        <w:ind w:left="720" w:hanging="360"/>
      </w:pPr>
    </w:lvl>
    <w:lvl w:ilvl="1">
      <w:start w:val="1"/>
      <w:numFmt w:val="decimal"/>
      <w:lvlText w:val="%1.%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33" w15:restartNumberingAfterBreak="0">
    <w:nsid w:val="5EBE64FA"/>
    <w:multiLevelType w:val="hybridMultilevel"/>
    <w:tmpl w:val="E124DD8C"/>
    <w:lvl w:ilvl="0" w:tplc="DF6CCA7C">
      <w:start w:val="1"/>
      <w:numFmt w:val="decimal"/>
      <w:lvlText w:val="%1)"/>
      <w:lvlJc w:val="left"/>
      <w:pPr>
        <w:ind w:left="1068" w:hanging="360"/>
      </w:pPr>
      <w:rPr>
        <w:rFonts w:eastAsiaTheme="minorHAnsi" w:cs="Arial" w:hint="default"/>
      </w:rPr>
    </w:lvl>
    <w:lvl w:ilvl="1" w:tplc="DE8AEAD4">
      <w:start w:val="1"/>
      <w:numFmt w:val="lowerLetter"/>
      <w:lvlText w:val="%2)"/>
      <w:lvlJc w:val="left"/>
      <w:pPr>
        <w:ind w:left="1788" w:hanging="360"/>
      </w:pPr>
      <w:rPr>
        <w:rFonts w:hint="default"/>
      </w:r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4" w15:restartNumberingAfterBreak="0">
    <w:nsid w:val="5F174957"/>
    <w:multiLevelType w:val="hybridMultilevel"/>
    <w:tmpl w:val="951E22C6"/>
    <w:lvl w:ilvl="0" w:tplc="04150001">
      <w:start w:val="1"/>
      <w:numFmt w:val="bullet"/>
      <w:lvlText w:val=""/>
      <w:lvlJc w:val="left"/>
      <w:pPr>
        <w:ind w:left="1068" w:hanging="360"/>
      </w:pPr>
      <w:rPr>
        <w:rFonts w:ascii="Symbol" w:hAnsi="Symbol"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5" w15:restartNumberingAfterBreak="0">
    <w:nsid w:val="63631C0C"/>
    <w:multiLevelType w:val="hybridMultilevel"/>
    <w:tmpl w:val="7A48AE4C"/>
    <w:lvl w:ilvl="0" w:tplc="1E46CA04">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48B797A"/>
    <w:multiLevelType w:val="hybridMultilevel"/>
    <w:tmpl w:val="06B6C41C"/>
    <w:lvl w:ilvl="0" w:tplc="04150019">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7" w15:restartNumberingAfterBreak="0">
    <w:nsid w:val="65AC43D8"/>
    <w:multiLevelType w:val="hybridMultilevel"/>
    <w:tmpl w:val="44BC4C12"/>
    <w:lvl w:ilvl="0" w:tplc="A11646DE">
      <w:start w:val="1"/>
      <w:numFmt w:val="decimal"/>
      <w:lvlText w:val="%1."/>
      <w:lvlJc w:val="left"/>
      <w:pPr>
        <w:ind w:left="720" w:hanging="360"/>
      </w:pPr>
      <w:rPr>
        <w:rFonts w:eastAsiaTheme="minorHAnsi"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C0544DF"/>
    <w:multiLevelType w:val="hybridMultilevel"/>
    <w:tmpl w:val="EAA8C7D4"/>
    <w:lvl w:ilvl="0" w:tplc="54409C5C">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D86064E"/>
    <w:multiLevelType w:val="hybridMultilevel"/>
    <w:tmpl w:val="1226AE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6D8C6E47"/>
    <w:multiLevelType w:val="hybridMultilevel"/>
    <w:tmpl w:val="D65E63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6E243801"/>
    <w:multiLevelType w:val="hybridMultilevel"/>
    <w:tmpl w:val="9462F52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6E9356F2"/>
    <w:multiLevelType w:val="multilevel"/>
    <w:tmpl w:val="AE14A6FC"/>
    <w:lvl w:ilvl="0">
      <w:start w:val="2"/>
      <w:numFmt w:val="decimal"/>
      <w:lvlText w:val="%1."/>
      <w:lvlJc w:val="left"/>
      <w:pPr>
        <w:ind w:left="720" w:hanging="360"/>
      </w:pPr>
    </w:lvl>
    <w:lvl w:ilvl="1">
      <w:start w:val="4"/>
      <w:numFmt w:val="decimal"/>
      <w:lvlText w:val="%1.%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43" w15:restartNumberingAfterBreak="0">
    <w:nsid w:val="6FAE2D9C"/>
    <w:multiLevelType w:val="hybridMultilevel"/>
    <w:tmpl w:val="F8D8F782"/>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4" w15:restartNumberingAfterBreak="0">
    <w:nsid w:val="75FE682A"/>
    <w:multiLevelType w:val="hybridMultilevel"/>
    <w:tmpl w:val="E514BE4E"/>
    <w:lvl w:ilvl="0" w:tplc="04150019">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5" w15:restartNumberingAfterBreak="0">
    <w:nsid w:val="7A403585"/>
    <w:multiLevelType w:val="hybridMultilevel"/>
    <w:tmpl w:val="F0884E4E"/>
    <w:lvl w:ilvl="0" w:tplc="04150019">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6" w15:restartNumberingAfterBreak="0">
    <w:nsid w:val="7B000077"/>
    <w:multiLevelType w:val="hybridMultilevel"/>
    <w:tmpl w:val="E36C4A5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7B3A30B7"/>
    <w:multiLevelType w:val="hybridMultilevel"/>
    <w:tmpl w:val="4BFC54CE"/>
    <w:lvl w:ilvl="0" w:tplc="04150011">
      <w:start w:val="1"/>
      <w:numFmt w:val="decimal"/>
      <w:lvlText w:val="%1)"/>
      <w:lvlJc w:val="left"/>
      <w:pPr>
        <w:ind w:left="360" w:hanging="360"/>
      </w:pPr>
      <w:rPr>
        <w:rFont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8" w15:restartNumberingAfterBreak="0">
    <w:nsid w:val="7DA73A53"/>
    <w:multiLevelType w:val="hybridMultilevel"/>
    <w:tmpl w:val="678ABA1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40"/>
  </w:num>
  <w:num w:numId="3">
    <w:abstractNumId w:val="48"/>
  </w:num>
  <w:num w:numId="4">
    <w:abstractNumId w:val="11"/>
  </w:num>
  <w:num w:numId="5">
    <w:abstractNumId w:val="26"/>
  </w:num>
  <w:num w:numId="6">
    <w:abstractNumId w:val="9"/>
  </w:num>
  <w:num w:numId="7">
    <w:abstractNumId w:val="7"/>
  </w:num>
  <w:num w:numId="8">
    <w:abstractNumId w:val="17"/>
  </w:num>
  <w:num w:numId="9">
    <w:abstractNumId w:val="41"/>
  </w:num>
  <w:num w:numId="10">
    <w:abstractNumId w:val="4"/>
  </w:num>
  <w:num w:numId="11">
    <w:abstractNumId w:val="27"/>
  </w:num>
  <w:num w:numId="12">
    <w:abstractNumId w:val="25"/>
  </w:num>
  <w:num w:numId="13">
    <w:abstractNumId w:val="19"/>
  </w:num>
  <w:num w:numId="14">
    <w:abstractNumId w:val="8"/>
  </w:num>
  <w:num w:numId="15">
    <w:abstractNumId w:val="36"/>
  </w:num>
  <w:num w:numId="16">
    <w:abstractNumId w:val="38"/>
  </w:num>
  <w:num w:numId="17">
    <w:abstractNumId w:val="45"/>
  </w:num>
  <w:num w:numId="18">
    <w:abstractNumId w:val="44"/>
  </w:num>
  <w:num w:numId="19">
    <w:abstractNumId w:val="35"/>
  </w:num>
  <w:num w:numId="20">
    <w:abstractNumId w:val="24"/>
  </w:num>
  <w:num w:numId="21">
    <w:abstractNumId w:val="39"/>
  </w:num>
  <w:num w:numId="22">
    <w:abstractNumId w:val="12"/>
  </w:num>
  <w:num w:numId="23">
    <w:abstractNumId w:val="5"/>
  </w:num>
  <w:num w:numId="24">
    <w:abstractNumId w:val="30"/>
  </w:num>
  <w:num w:numId="25">
    <w:abstractNumId w:val="43"/>
  </w:num>
  <w:num w:numId="26">
    <w:abstractNumId w:val="21"/>
  </w:num>
  <w:num w:numId="27">
    <w:abstractNumId w:val="6"/>
  </w:num>
  <w:num w:numId="28">
    <w:abstractNumId w:val="37"/>
  </w:num>
  <w:num w:numId="29">
    <w:abstractNumId w:val="20"/>
  </w:num>
  <w:num w:numId="30">
    <w:abstractNumId w:val="2"/>
  </w:num>
  <w:num w:numId="31">
    <w:abstractNumId w:val="16"/>
  </w:num>
  <w:num w:numId="32">
    <w:abstractNumId w:val="33"/>
  </w:num>
  <w:num w:numId="33">
    <w:abstractNumId w:val="15"/>
  </w:num>
  <w:num w:numId="34">
    <w:abstractNumId w:val="34"/>
  </w:num>
  <w:num w:numId="35">
    <w:abstractNumId w:val="14"/>
  </w:num>
  <w:num w:numId="36">
    <w:abstractNumId w:val="23"/>
  </w:num>
  <w:num w:numId="37">
    <w:abstractNumId w:val="18"/>
  </w:num>
  <w:num w:numId="38">
    <w:abstractNumId w:val="28"/>
  </w:num>
  <w:num w:numId="39">
    <w:abstractNumId w:val="22"/>
  </w:num>
  <w:num w:numId="40">
    <w:abstractNumId w:val="31"/>
  </w:num>
  <w:num w:numId="41">
    <w:abstractNumId w:val="0"/>
  </w:num>
  <w:num w:numId="42">
    <w:abstractNumId w:val="13"/>
  </w:num>
  <w:num w:numId="43">
    <w:abstractNumId w:val="47"/>
  </w:num>
  <w:num w:numId="44">
    <w:abstractNumId w:val="3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2"/>
    <w:lvlOverride w:ilvl="0">
      <w:startOverride w:val="2"/>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1B9C"/>
    <w:rsid w:val="00002980"/>
    <w:rsid w:val="000347A5"/>
    <w:rsid w:val="000527DA"/>
    <w:rsid w:val="00073A47"/>
    <w:rsid w:val="00091A2A"/>
    <w:rsid w:val="000C4CCF"/>
    <w:rsid w:val="000C79DC"/>
    <w:rsid w:val="000F01EE"/>
    <w:rsid w:val="0010056A"/>
    <w:rsid w:val="00101C1E"/>
    <w:rsid w:val="001106D1"/>
    <w:rsid w:val="00116728"/>
    <w:rsid w:val="00123FC3"/>
    <w:rsid w:val="00126366"/>
    <w:rsid w:val="0013667B"/>
    <w:rsid w:val="00136FDD"/>
    <w:rsid w:val="00143414"/>
    <w:rsid w:val="0017411F"/>
    <w:rsid w:val="00175541"/>
    <w:rsid w:val="00202E20"/>
    <w:rsid w:val="002656B8"/>
    <w:rsid w:val="002749A9"/>
    <w:rsid w:val="0028248F"/>
    <w:rsid w:val="00286FD9"/>
    <w:rsid w:val="002A151E"/>
    <w:rsid w:val="002A1B93"/>
    <w:rsid w:val="002D5D14"/>
    <w:rsid w:val="002F17C3"/>
    <w:rsid w:val="0031539A"/>
    <w:rsid w:val="003403ED"/>
    <w:rsid w:val="0034555E"/>
    <w:rsid w:val="00345CA3"/>
    <w:rsid w:val="00350715"/>
    <w:rsid w:val="0035398A"/>
    <w:rsid w:val="00365384"/>
    <w:rsid w:val="00385640"/>
    <w:rsid w:val="003B4101"/>
    <w:rsid w:val="003B6F42"/>
    <w:rsid w:val="00400F81"/>
    <w:rsid w:val="00440CA6"/>
    <w:rsid w:val="00461C20"/>
    <w:rsid w:val="00477E57"/>
    <w:rsid w:val="00477F05"/>
    <w:rsid w:val="00487288"/>
    <w:rsid w:val="004A02B9"/>
    <w:rsid w:val="004A6186"/>
    <w:rsid w:val="004B5688"/>
    <w:rsid w:val="004C3FF4"/>
    <w:rsid w:val="004D5059"/>
    <w:rsid w:val="004D72F2"/>
    <w:rsid w:val="0050081B"/>
    <w:rsid w:val="005171CB"/>
    <w:rsid w:val="00567E14"/>
    <w:rsid w:val="005A05D9"/>
    <w:rsid w:val="005B5630"/>
    <w:rsid w:val="006352EB"/>
    <w:rsid w:val="006A407B"/>
    <w:rsid w:val="006B6120"/>
    <w:rsid w:val="006E5A03"/>
    <w:rsid w:val="006F23D9"/>
    <w:rsid w:val="0070404F"/>
    <w:rsid w:val="00711067"/>
    <w:rsid w:val="0075120F"/>
    <w:rsid w:val="00754E44"/>
    <w:rsid w:val="007868DA"/>
    <w:rsid w:val="007F3B8A"/>
    <w:rsid w:val="00817436"/>
    <w:rsid w:val="008201A8"/>
    <w:rsid w:val="00841C55"/>
    <w:rsid w:val="00855574"/>
    <w:rsid w:val="00861E70"/>
    <w:rsid w:val="008848F7"/>
    <w:rsid w:val="008A3EFE"/>
    <w:rsid w:val="008B186C"/>
    <w:rsid w:val="008B439B"/>
    <w:rsid w:val="008C7479"/>
    <w:rsid w:val="008E35FD"/>
    <w:rsid w:val="009011EE"/>
    <w:rsid w:val="00975691"/>
    <w:rsid w:val="009B2675"/>
    <w:rsid w:val="009B55EF"/>
    <w:rsid w:val="00A046A2"/>
    <w:rsid w:val="00A150B8"/>
    <w:rsid w:val="00A562C5"/>
    <w:rsid w:val="00AB4BE5"/>
    <w:rsid w:val="00AB4BFB"/>
    <w:rsid w:val="00AC4EA1"/>
    <w:rsid w:val="00B21C57"/>
    <w:rsid w:val="00B24169"/>
    <w:rsid w:val="00B60F1D"/>
    <w:rsid w:val="00B62E3C"/>
    <w:rsid w:val="00B662EF"/>
    <w:rsid w:val="00B80563"/>
    <w:rsid w:val="00BA60E5"/>
    <w:rsid w:val="00BB2360"/>
    <w:rsid w:val="00C017B0"/>
    <w:rsid w:val="00C20C19"/>
    <w:rsid w:val="00C322A6"/>
    <w:rsid w:val="00C43D97"/>
    <w:rsid w:val="00C51D56"/>
    <w:rsid w:val="00C818C2"/>
    <w:rsid w:val="00CA521D"/>
    <w:rsid w:val="00CB7968"/>
    <w:rsid w:val="00CC0DE6"/>
    <w:rsid w:val="00CC475D"/>
    <w:rsid w:val="00CF1A4C"/>
    <w:rsid w:val="00CF1B9C"/>
    <w:rsid w:val="00D27B1A"/>
    <w:rsid w:val="00D42318"/>
    <w:rsid w:val="00DD10E9"/>
    <w:rsid w:val="00DF2255"/>
    <w:rsid w:val="00DF4A3A"/>
    <w:rsid w:val="00DF7674"/>
    <w:rsid w:val="00E02966"/>
    <w:rsid w:val="00E16429"/>
    <w:rsid w:val="00E34F84"/>
    <w:rsid w:val="00E36200"/>
    <w:rsid w:val="00E721FE"/>
    <w:rsid w:val="00E841F2"/>
    <w:rsid w:val="00E8552B"/>
    <w:rsid w:val="00E90409"/>
    <w:rsid w:val="00E944F9"/>
    <w:rsid w:val="00EA3FF3"/>
    <w:rsid w:val="00EF019E"/>
    <w:rsid w:val="00EF7F7F"/>
    <w:rsid w:val="00EF7FA0"/>
    <w:rsid w:val="00F01974"/>
    <w:rsid w:val="00F3374D"/>
    <w:rsid w:val="00F34396"/>
    <w:rsid w:val="00F70B74"/>
    <w:rsid w:val="00F70FD3"/>
    <w:rsid w:val="00F9323C"/>
    <w:rsid w:val="00FC40E0"/>
    <w:rsid w:val="00FC444C"/>
    <w:rsid w:val="00FF54E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CC882B"/>
  <w15:docId w15:val="{7122DF95-BD53-4F73-8EB3-07CEE4A349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F7FA0"/>
    <w:pPr>
      <w:spacing w:before="100" w:beforeAutospacing="1" w:after="100" w:afterAutospacing="1" w:line="240" w:lineRule="auto"/>
      <w:ind w:firstLine="567"/>
      <w:jc w:val="both"/>
    </w:pPr>
    <w:rPr>
      <w:sz w:val="20"/>
    </w:rPr>
  </w:style>
  <w:style w:type="paragraph" w:styleId="Nagwek1">
    <w:name w:val="heading 1"/>
    <w:basedOn w:val="Normalny"/>
    <w:next w:val="Normalny"/>
    <w:link w:val="Nagwek1Znak"/>
    <w:uiPriority w:val="9"/>
    <w:qFormat/>
    <w:rsid w:val="00EF7FA0"/>
    <w:pPr>
      <w:keepNext/>
      <w:keepLines/>
      <w:pageBreakBefore/>
      <w:shd w:val="clear" w:color="auto" w:fill="BFBFBF" w:themeFill="background1" w:themeFillShade="BF"/>
      <w:ind w:firstLine="0"/>
      <w:outlineLvl w:val="0"/>
    </w:pPr>
    <w:rPr>
      <w:rFonts w:ascii="Calibri" w:eastAsiaTheme="majorEastAsia" w:hAnsi="Calibri" w:cstheme="majorBidi"/>
      <w:b/>
      <w:bCs/>
      <w:sz w:val="24"/>
      <w:szCs w:val="28"/>
    </w:rPr>
  </w:style>
  <w:style w:type="paragraph" w:styleId="Nagwek2">
    <w:name w:val="heading 2"/>
    <w:basedOn w:val="Normalny"/>
    <w:next w:val="Normalny"/>
    <w:link w:val="Nagwek2Znak"/>
    <w:uiPriority w:val="9"/>
    <w:unhideWhenUsed/>
    <w:qFormat/>
    <w:rsid w:val="00EF7FA0"/>
    <w:pPr>
      <w:keepNext/>
      <w:keepLines/>
      <w:shd w:val="clear" w:color="auto" w:fill="D9D9D9" w:themeFill="background1" w:themeFillShade="D9"/>
      <w:ind w:firstLine="0"/>
      <w:outlineLvl w:val="1"/>
    </w:pPr>
    <w:rPr>
      <w:rFonts w:ascii="Calibri" w:eastAsiaTheme="majorEastAsia" w:hAnsi="Calibri" w:cstheme="majorBidi"/>
      <w:b/>
      <w:bCs/>
      <w:sz w:val="22"/>
      <w:szCs w:val="26"/>
    </w:rPr>
  </w:style>
  <w:style w:type="paragraph" w:styleId="Nagwek3">
    <w:name w:val="heading 3"/>
    <w:basedOn w:val="Normalny"/>
    <w:next w:val="Normalny"/>
    <w:link w:val="Nagwek3Znak"/>
    <w:uiPriority w:val="9"/>
    <w:unhideWhenUsed/>
    <w:qFormat/>
    <w:rsid w:val="00EF7FA0"/>
    <w:pPr>
      <w:keepNext/>
      <w:keepLines/>
      <w:shd w:val="clear" w:color="auto" w:fill="F2F2F2" w:themeFill="background1" w:themeFillShade="F2"/>
      <w:ind w:firstLine="0"/>
      <w:outlineLvl w:val="2"/>
    </w:pPr>
    <w:rPr>
      <w:rFonts w:eastAsia="GillSansMT" w:cstheme="majorBidi"/>
      <w:b/>
      <w:bCs/>
    </w:rPr>
  </w:style>
  <w:style w:type="paragraph" w:styleId="Nagwek4">
    <w:name w:val="heading 4"/>
    <w:basedOn w:val="Normalny"/>
    <w:next w:val="Normalny"/>
    <w:link w:val="Nagwek4Znak"/>
    <w:uiPriority w:val="9"/>
    <w:semiHidden/>
    <w:unhideWhenUsed/>
    <w:qFormat/>
    <w:rsid w:val="00EF7FA0"/>
    <w:pPr>
      <w:keepNext/>
      <w:keepLines/>
      <w:spacing w:before="200" w:after="0"/>
      <w:outlineLvl w:val="3"/>
    </w:pPr>
    <w:rPr>
      <w:rFonts w:asciiTheme="majorHAnsi" w:eastAsiaTheme="majorEastAsia" w:hAnsiTheme="majorHAnsi" w:cstheme="majorBidi"/>
      <w:b/>
      <w:bCs/>
      <w:i/>
      <w:iCs/>
      <w:color w:val="4F81BD" w:themeColor="accent1"/>
    </w:rPr>
  </w:style>
  <w:style w:type="paragraph" w:styleId="Nagwek5">
    <w:name w:val="heading 5"/>
    <w:basedOn w:val="Normalny"/>
    <w:next w:val="Normalny"/>
    <w:link w:val="Nagwek5Znak"/>
    <w:uiPriority w:val="9"/>
    <w:semiHidden/>
    <w:unhideWhenUsed/>
    <w:qFormat/>
    <w:rsid w:val="00EF7FA0"/>
    <w:pPr>
      <w:keepNext/>
      <w:keepLines/>
      <w:spacing w:before="200" w:after="0"/>
      <w:outlineLvl w:val="4"/>
    </w:pPr>
    <w:rPr>
      <w:rFonts w:asciiTheme="majorHAnsi" w:eastAsiaTheme="majorEastAsia" w:hAnsiTheme="majorHAnsi" w:cstheme="majorBidi"/>
      <w:color w:val="243F60" w:themeColor="accent1" w:themeShade="7F"/>
    </w:rPr>
  </w:style>
  <w:style w:type="paragraph" w:styleId="Nagwek6">
    <w:name w:val="heading 6"/>
    <w:basedOn w:val="Normalny"/>
    <w:next w:val="Normalny"/>
    <w:link w:val="Nagwek6Znak"/>
    <w:uiPriority w:val="9"/>
    <w:semiHidden/>
    <w:unhideWhenUsed/>
    <w:qFormat/>
    <w:rsid w:val="00EF7FA0"/>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gwek7">
    <w:name w:val="heading 7"/>
    <w:basedOn w:val="Normalny"/>
    <w:next w:val="Normalny"/>
    <w:link w:val="Nagwek7Znak"/>
    <w:uiPriority w:val="9"/>
    <w:semiHidden/>
    <w:unhideWhenUsed/>
    <w:qFormat/>
    <w:rsid w:val="00EF7FA0"/>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gwek8">
    <w:name w:val="heading 8"/>
    <w:basedOn w:val="Normalny"/>
    <w:next w:val="Normalny"/>
    <w:link w:val="Nagwek8Znak"/>
    <w:uiPriority w:val="9"/>
    <w:semiHidden/>
    <w:unhideWhenUsed/>
    <w:qFormat/>
    <w:rsid w:val="00EF7FA0"/>
    <w:pPr>
      <w:keepNext/>
      <w:keepLines/>
      <w:spacing w:before="200" w:after="0"/>
      <w:outlineLvl w:val="7"/>
    </w:pPr>
    <w:rPr>
      <w:rFonts w:asciiTheme="majorHAnsi" w:eastAsiaTheme="majorEastAsia" w:hAnsiTheme="majorHAnsi" w:cstheme="majorBidi"/>
      <w:color w:val="404040" w:themeColor="text1" w:themeTint="BF"/>
      <w:szCs w:val="20"/>
    </w:rPr>
  </w:style>
  <w:style w:type="paragraph" w:styleId="Nagwek9">
    <w:name w:val="heading 9"/>
    <w:basedOn w:val="Normalny"/>
    <w:next w:val="Normalny"/>
    <w:link w:val="Nagwek9Znak"/>
    <w:uiPriority w:val="9"/>
    <w:semiHidden/>
    <w:unhideWhenUsed/>
    <w:qFormat/>
    <w:rsid w:val="00EF7FA0"/>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754E44"/>
    <w:pPr>
      <w:tabs>
        <w:tab w:val="center" w:pos="4536"/>
        <w:tab w:val="right" w:pos="9072"/>
      </w:tabs>
      <w:spacing w:after="0"/>
    </w:pPr>
  </w:style>
  <w:style w:type="character" w:customStyle="1" w:styleId="NagwekZnak">
    <w:name w:val="Nagłówek Znak"/>
    <w:basedOn w:val="Domylnaczcionkaakapitu"/>
    <w:link w:val="Nagwek"/>
    <w:uiPriority w:val="99"/>
    <w:rsid w:val="00754E44"/>
  </w:style>
  <w:style w:type="paragraph" w:styleId="Stopka">
    <w:name w:val="footer"/>
    <w:basedOn w:val="Normalny"/>
    <w:link w:val="StopkaZnak"/>
    <w:uiPriority w:val="99"/>
    <w:unhideWhenUsed/>
    <w:rsid w:val="00754E44"/>
    <w:pPr>
      <w:tabs>
        <w:tab w:val="center" w:pos="4536"/>
        <w:tab w:val="right" w:pos="9072"/>
      </w:tabs>
      <w:spacing w:after="0"/>
    </w:pPr>
  </w:style>
  <w:style w:type="character" w:customStyle="1" w:styleId="StopkaZnak">
    <w:name w:val="Stopka Znak"/>
    <w:basedOn w:val="Domylnaczcionkaakapitu"/>
    <w:link w:val="Stopka"/>
    <w:uiPriority w:val="99"/>
    <w:rsid w:val="00754E44"/>
  </w:style>
  <w:style w:type="character" w:customStyle="1" w:styleId="Nagwek1Znak">
    <w:name w:val="Nagłówek 1 Znak"/>
    <w:basedOn w:val="Domylnaczcionkaakapitu"/>
    <w:link w:val="Nagwek1"/>
    <w:uiPriority w:val="9"/>
    <w:rsid w:val="00EF7FA0"/>
    <w:rPr>
      <w:rFonts w:ascii="Calibri" w:eastAsiaTheme="majorEastAsia" w:hAnsi="Calibri" w:cstheme="majorBidi"/>
      <w:b/>
      <w:bCs/>
      <w:sz w:val="24"/>
      <w:szCs w:val="28"/>
      <w:shd w:val="clear" w:color="auto" w:fill="BFBFBF" w:themeFill="background1" w:themeFillShade="BF"/>
    </w:rPr>
  </w:style>
  <w:style w:type="character" w:customStyle="1" w:styleId="Nagwek2Znak">
    <w:name w:val="Nagłówek 2 Znak"/>
    <w:basedOn w:val="Domylnaczcionkaakapitu"/>
    <w:link w:val="Nagwek2"/>
    <w:uiPriority w:val="9"/>
    <w:rsid w:val="00EF7FA0"/>
    <w:rPr>
      <w:rFonts w:ascii="Calibri" w:eastAsiaTheme="majorEastAsia" w:hAnsi="Calibri" w:cstheme="majorBidi"/>
      <w:b/>
      <w:bCs/>
      <w:szCs w:val="26"/>
      <w:shd w:val="clear" w:color="auto" w:fill="D9D9D9" w:themeFill="background1" w:themeFillShade="D9"/>
    </w:rPr>
  </w:style>
  <w:style w:type="paragraph" w:styleId="Akapitzlist">
    <w:name w:val="List Paragraph"/>
    <w:basedOn w:val="Normalny"/>
    <w:uiPriority w:val="34"/>
    <w:qFormat/>
    <w:rsid w:val="00EF7FA0"/>
    <w:pPr>
      <w:ind w:left="720"/>
      <w:contextualSpacing/>
    </w:pPr>
  </w:style>
  <w:style w:type="paragraph" w:styleId="Tekstdymka">
    <w:name w:val="Balloon Text"/>
    <w:basedOn w:val="Normalny"/>
    <w:link w:val="TekstdymkaZnak"/>
    <w:uiPriority w:val="99"/>
    <w:semiHidden/>
    <w:unhideWhenUsed/>
    <w:rsid w:val="00DF7674"/>
    <w:pPr>
      <w:spacing w:after="0"/>
    </w:pPr>
    <w:rPr>
      <w:rFonts w:ascii="Tahoma" w:hAnsi="Tahoma" w:cs="Tahoma"/>
      <w:sz w:val="16"/>
      <w:szCs w:val="16"/>
    </w:rPr>
  </w:style>
  <w:style w:type="character" w:customStyle="1" w:styleId="TekstdymkaZnak">
    <w:name w:val="Tekst dymka Znak"/>
    <w:basedOn w:val="Domylnaczcionkaakapitu"/>
    <w:link w:val="Tekstdymka"/>
    <w:uiPriority w:val="99"/>
    <w:semiHidden/>
    <w:rsid w:val="00DF7674"/>
    <w:rPr>
      <w:rFonts w:ascii="Tahoma" w:hAnsi="Tahoma" w:cs="Tahoma"/>
      <w:sz w:val="16"/>
      <w:szCs w:val="16"/>
    </w:rPr>
  </w:style>
  <w:style w:type="character" w:customStyle="1" w:styleId="Nagwek3Znak">
    <w:name w:val="Nagłówek 3 Znak"/>
    <w:basedOn w:val="Domylnaczcionkaakapitu"/>
    <w:link w:val="Nagwek3"/>
    <w:uiPriority w:val="9"/>
    <w:rsid w:val="00EF7FA0"/>
    <w:rPr>
      <w:rFonts w:eastAsia="GillSansMT" w:cstheme="majorBidi"/>
      <w:b/>
      <w:bCs/>
      <w:sz w:val="20"/>
      <w:shd w:val="clear" w:color="auto" w:fill="F2F2F2" w:themeFill="background1" w:themeFillShade="F2"/>
    </w:rPr>
  </w:style>
  <w:style w:type="paragraph" w:styleId="Tytu">
    <w:name w:val="Title"/>
    <w:basedOn w:val="Normalny"/>
    <w:next w:val="Normalny"/>
    <w:link w:val="TytuZnak"/>
    <w:uiPriority w:val="10"/>
    <w:qFormat/>
    <w:rsid w:val="00EF7FA0"/>
    <w:pPr>
      <w:spacing w:before="0" w:after="300" w:line="360" w:lineRule="auto"/>
      <w:contextualSpacing/>
      <w:jc w:val="center"/>
    </w:pPr>
    <w:rPr>
      <w:rFonts w:eastAsiaTheme="majorEastAsia" w:cstheme="majorBidi"/>
      <w:b/>
      <w:spacing w:val="5"/>
      <w:kern w:val="28"/>
      <w:sz w:val="40"/>
      <w:szCs w:val="52"/>
    </w:rPr>
  </w:style>
  <w:style w:type="character" w:customStyle="1" w:styleId="TytuZnak">
    <w:name w:val="Tytuł Znak"/>
    <w:basedOn w:val="Domylnaczcionkaakapitu"/>
    <w:link w:val="Tytu"/>
    <w:uiPriority w:val="10"/>
    <w:rsid w:val="00EF7FA0"/>
    <w:rPr>
      <w:rFonts w:eastAsiaTheme="majorEastAsia" w:cstheme="majorBidi"/>
      <w:b/>
      <w:spacing w:val="5"/>
      <w:kern w:val="28"/>
      <w:sz w:val="40"/>
      <w:szCs w:val="52"/>
    </w:rPr>
  </w:style>
  <w:style w:type="paragraph" w:styleId="Podtytu">
    <w:name w:val="Subtitle"/>
    <w:basedOn w:val="Normalny"/>
    <w:next w:val="Normalny"/>
    <w:link w:val="PodtytuZnak"/>
    <w:uiPriority w:val="11"/>
    <w:qFormat/>
    <w:rsid w:val="00EF7FA0"/>
    <w:pPr>
      <w:numPr>
        <w:ilvl w:val="1"/>
      </w:numPr>
      <w:pBdr>
        <w:bottom w:val="single" w:sz="8" w:space="1" w:color="000000" w:themeColor="text1"/>
      </w:pBdr>
      <w:ind w:firstLine="567"/>
      <w:jc w:val="center"/>
    </w:pPr>
    <w:rPr>
      <w:rFonts w:eastAsiaTheme="majorEastAsia" w:cstheme="majorBidi"/>
      <w:i/>
      <w:iCs/>
      <w:szCs w:val="24"/>
    </w:rPr>
  </w:style>
  <w:style w:type="character" w:customStyle="1" w:styleId="PodtytuZnak">
    <w:name w:val="Podtytuł Znak"/>
    <w:basedOn w:val="Domylnaczcionkaakapitu"/>
    <w:link w:val="Podtytu"/>
    <w:uiPriority w:val="11"/>
    <w:rsid w:val="00EF7FA0"/>
    <w:rPr>
      <w:rFonts w:eastAsiaTheme="majorEastAsia" w:cstheme="majorBidi"/>
      <w:i/>
      <w:iCs/>
      <w:sz w:val="20"/>
      <w:szCs w:val="24"/>
    </w:rPr>
  </w:style>
  <w:style w:type="character" w:styleId="Wyrnieniedelikatne">
    <w:name w:val="Subtle Emphasis"/>
    <w:basedOn w:val="Domylnaczcionkaakapitu"/>
    <w:uiPriority w:val="19"/>
    <w:qFormat/>
    <w:rsid w:val="00EF7FA0"/>
    <w:rPr>
      <w:rFonts w:asciiTheme="minorHAnsi" w:hAnsiTheme="minorHAnsi"/>
      <w:i/>
      <w:iCs/>
      <w:color w:val="auto"/>
      <w:sz w:val="20"/>
    </w:rPr>
  </w:style>
  <w:style w:type="character" w:customStyle="1" w:styleId="Nagwek4Znak">
    <w:name w:val="Nagłówek 4 Znak"/>
    <w:basedOn w:val="Domylnaczcionkaakapitu"/>
    <w:link w:val="Nagwek4"/>
    <w:uiPriority w:val="9"/>
    <w:semiHidden/>
    <w:rsid w:val="00EF7FA0"/>
    <w:rPr>
      <w:rFonts w:asciiTheme="majorHAnsi" w:eastAsiaTheme="majorEastAsia" w:hAnsiTheme="majorHAnsi" w:cstheme="majorBidi"/>
      <w:b/>
      <w:bCs/>
      <w:i/>
      <w:iCs/>
      <w:color w:val="4F81BD" w:themeColor="accent1"/>
      <w:sz w:val="20"/>
    </w:rPr>
  </w:style>
  <w:style w:type="paragraph" w:styleId="Bezodstpw">
    <w:name w:val="No Spacing"/>
    <w:link w:val="BezodstpwZnak"/>
    <w:uiPriority w:val="1"/>
    <w:qFormat/>
    <w:rsid w:val="00EF7FA0"/>
    <w:pPr>
      <w:spacing w:beforeAutospacing="1" w:after="0" w:afterAutospacing="1" w:line="240" w:lineRule="auto"/>
      <w:ind w:firstLine="567"/>
      <w:jc w:val="both"/>
    </w:pPr>
    <w:rPr>
      <w:sz w:val="20"/>
    </w:rPr>
  </w:style>
  <w:style w:type="character" w:customStyle="1" w:styleId="Nagwek5Znak">
    <w:name w:val="Nagłówek 5 Znak"/>
    <w:basedOn w:val="Domylnaczcionkaakapitu"/>
    <w:link w:val="Nagwek5"/>
    <w:uiPriority w:val="9"/>
    <w:semiHidden/>
    <w:rsid w:val="00EF7FA0"/>
    <w:rPr>
      <w:rFonts w:asciiTheme="majorHAnsi" w:eastAsiaTheme="majorEastAsia" w:hAnsiTheme="majorHAnsi" w:cstheme="majorBidi"/>
      <w:color w:val="243F60" w:themeColor="accent1" w:themeShade="7F"/>
      <w:sz w:val="20"/>
    </w:rPr>
  </w:style>
  <w:style w:type="character" w:customStyle="1" w:styleId="Nagwek6Znak">
    <w:name w:val="Nagłówek 6 Znak"/>
    <w:basedOn w:val="Domylnaczcionkaakapitu"/>
    <w:link w:val="Nagwek6"/>
    <w:uiPriority w:val="9"/>
    <w:semiHidden/>
    <w:rsid w:val="00EF7FA0"/>
    <w:rPr>
      <w:rFonts w:asciiTheme="majorHAnsi" w:eastAsiaTheme="majorEastAsia" w:hAnsiTheme="majorHAnsi" w:cstheme="majorBidi"/>
      <w:i/>
      <w:iCs/>
      <w:color w:val="243F60" w:themeColor="accent1" w:themeShade="7F"/>
      <w:sz w:val="20"/>
    </w:rPr>
  </w:style>
  <w:style w:type="character" w:customStyle="1" w:styleId="Nagwek7Znak">
    <w:name w:val="Nagłówek 7 Znak"/>
    <w:basedOn w:val="Domylnaczcionkaakapitu"/>
    <w:link w:val="Nagwek7"/>
    <w:uiPriority w:val="9"/>
    <w:semiHidden/>
    <w:rsid w:val="00EF7FA0"/>
    <w:rPr>
      <w:rFonts w:asciiTheme="majorHAnsi" w:eastAsiaTheme="majorEastAsia" w:hAnsiTheme="majorHAnsi" w:cstheme="majorBidi"/>
      <w:i/>
      <w:iCs/>
      <w:color w:val="404040" w:themeColor="text1" w:themeTint="BF"/>
      <w:sz w:val="20"/>
    </w:rPr>
  </w:style>
  <w:style w:type="character" w:customStyle="1" w:styleId="Nagwek8Znak">
    <w:name w:val="Nagłówek 8 Znak"/>
    <w:basedOn w:val="Domylnaczcionkaakapitu"/>
    <w:link w:val="Nagwek8"/>
    <w:uiPriority w:val="9"/>
    <w:semiHidden/>
    <w:rsid w:val="00EF7FA0"/>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EF7FA0"/>
    <w:rPr>
      <w:rFonts w:asciiTheme="majorHAnsi" w:eastAsiaTheme="majorEastAsia" w:hAnsiTheme="majorHAnsi" w:cstheme="majorBidi"/>
      <w:i/>
      <w:iCs/>
      <w:color w:val="404040" w:themeColor="text1" w:themeTint="BF"/>
      <w:sz w:val="20"/>
      <w:szCs w:val="20"/>
    </w:rPr>
  </w:style>
  <w:style w:type="paragraph" w:styleId="Legenda">
    <w:name w:val="caption"/>
    <w:basedOn w:val="Normalny"/>
    <w:next w:val="Normalny"/>
    <w:uiPriority w:val="35"/>
    <w:semiHidden/>
    <w:unhideWhenUsed/>
    <w:qFormat/>
    <w:rsid w:val="00EF7FA0"/>
    <w:pPr>
      <w:spacing w:before="0" w:after="200"/>
    </w:pPr>
    <w:rPr>
      <w:b/>
      <w:bCs/>
      <w:color w:val="4F81BD" w:themeColor="accent1"/>
      <w:sz w:val="18"/>
      <w:szCs w:val="18"/>
    </w:rPr>
  </w:style>
  <w:style w:type="character" w:styleId="Pogrubienie">
    <w:name w:val="Strong"/>
    <w:uiPriority w:val="22"/>
    <w:qFormat/>
    <w:rsid w:val="00EF7FA0"/>
    <w:rPr>
      <w:b/>
      <w:bCs/>
    </w:rPr>
  </w:style>
  <w:style w:type="character" w:styleId="Uwydatnienie">
    <w:name w:val="Emphasis"/>
    <w:uiPriority w:val="20"/>
    <w:qFormat/>
    <w:rsid w:val="00EF7FA0"/>
    <w:rPr>
      <w:i/>
      <w:iCs/>
    </w:rPr>
  </w:style>
  <w:style w:type="character" w:customStyle="1" w:styleId="BezodstpwZnak">
    <w:name w:val="Bez odstępów Znak"/>
    <w:basedOn w:val="Domylnaczcionkaakapitu"/>
    <w:link w:val="Bezodstpw"/>
    <w:uiPriority w:val="1"/>
    <w:rsid w:val="00EF7FA0"/>
    <w:rPr>
      <w:sz w:val="20"/>
    </w:rPr>
  </w:style>
  <w:style w:type="paragraph" w:styleId="Cytat">
    <w:name w:val="Quote"/>
    <w:basedOn w:val="Normalny"/>
    <w:next w:val="Normalny"/>
    <w:link w:val="CytatZnak"/>
    <w:uiPriority w:val="29"/>
    <w:qFormat/>
    <w:rsid w:val="00EF7FA0"/>
    <w:rPr>
      <w:i/>
      <w:iCs/>
      <w:color w:val="000000" w:themeColor="text1"/>
    </w:rPr>
  </w:style>
  <w:style w:type="character" w:customStyle="1" w:styleId="CytatZnak">
    <w:name w:val="Cytat Znak"/>
    <w:basedOn w:val="Domylnaczcionkaakapitu"/>
    <w:link w:val="Cytat"/>
    <w:uiPriority w:val="29"/>
    <w:rsid w:val="00EF7FA0"/>
    <w:rPr>
      <w:i/>
      <w:iCs/>
      <w:color w:val="000000" w:themeColor="text1"/>
      <w:sz w:val="20"/>
    </w:rPr>
  </w:style>
  <w:style w:type="paragraph" w:styleId="Cytatintensywny">
    <w:name w:val="Intense Quote"/>
    <w:basedOn w:val="Normalny"/>
    <w:next w:val="Normalny"/>
    <w:link w:val="CytatintensywnyZnak"/>
    <w:uiPriority w:val="30"/>
    <w:qFormat/>
    <w:rsid w:val="00EF7FA0"/>
    <w:pPr>
      <w:pBdr>
        <w:bottom w:val="single" w:sz="4" w:space="4" w:color="4F81BD" w:themeColor="accent1"/>
      </w:pBdr>
      <w:spacing w:before="200" w:after="280"/>
      <w:ind w:left="936" w:right="936"/>
    </w:pPr>
    <w:rPr>
      <w:b/>
      <w:bCs/>
      <w:i/>
      <w:iCs/>
      <w:color w:val="4F81BD" w:themeColor="accent1"/>
    </w:rPr>
  </w:style>
  <w:style w:type="character" w:customStyle="1" w:styleId="CytatintensywnyZnak">
    <w:name w:val="Cytat intensywny Znak"/>
    <w:basedOn w:val="Domylnaczcionkaakapitu"/>
    <w:link w:val="Cytatintensywny"/>
    <w:uiPriority w:val="30"/>
    <w:rsid w:val="00EF7FA0"/>
    <w:rPr>
      <w:b/>
      <w:bCs/>
      <w:i/>
      <w:iCs/>
      <w:color w:val="4F81BD" w:themeColor="accent1"/>
      <w:sz w:val="20"/>
    </w:rPr>
  </w:style>
  <w:style w:type="character" w:styleId="Wyrnienieintensywne">
    <w:name w:val="Intense Emphasis"/>
    <w:uiPriority w:val="21"/>
    <w:qFormat/>
    <w:rsid w:val="00EF7FA0"/>
    <w:rPr>
      <w:b/>
      <w:bCs/>
      <w:i/>
      <w:iCs/>
      <w:color w:val="4F81BD" w:themeColor="accent1"/>
    </w:rPr>
  </w:style>
  <w:style w:type="character" w:styleId="Odwoaniedelikatne">
    <w:name w:val="Subtle Reference"/>
    <w:basedOn w:val="Domylnaczcionkaakapitu"/>
    <w:uiPriority w:val="31"/>
    <w:qFormat/>
    <w:rsid w:val="00EF7FA0"/>
    <w:rPr>
      <w:smallCaps/>
      <w:color w:val="C0504D" w:themeColor="accent2"/>
      <w:u w:val="single"/>
    </w:rPr>
  </w:style>
  <w:style w:type="character" w:styleId="Odwoanieintensywne">
    <w:name w:val="Intense Reference"/>
    <w:uiPriority w:val="32"/>
    <w:qFormat/>
    <w:rsid w:val="00EF7FA0"/>
    <w:rPr>
      <w:b/>
      <w:bCs/>
      <w:smallCaps/>
      <w:color w:val="C0504D" w:themeColor="accent2"/>
      <w:spacing w:val="5"/>
      <w:u w:val="single"/>
    </w:rPr>
  </w:style>
  <w:style w:type="character" w:styleId="Tytuksiki">
    <w:name w:val="Book Title"/>
    <w:uiPriority w:val="33"/>
    <w:qFormat/>
    <w:rsid w:val="00EF7FA0"/>
    <w:rPr>
      <w:b/>
      <w:bCs/>
      <w:smallCaps/>
      <w:spacing w:val="5"/>
    </w:rPr>
  </w:style>
  <w:style w:type="paragraph" w:styleId="Nagwekspisutreci">
    <w:name w:val="TOC Heading"/>
    <w:basedOn w:val="Nagwek1"/>
    <w:next w:val="Normalny"/>
    <w:uiPriority w:val="39"/>
    <w:semiHidden/>
    <w:unhideWhenUsed/>
    <w:qFormat/>
    <w:rsid w:val="00EF7FA0"/>
    <w:pPr>
      <w:pageBreakBefore w:val="0"/>
      <w:shd w:val="clear" w:color="auto" w:fill="auto"/>
      <w:spacing w:before="480" w:after="0" w:line="276" w:lineRule="auto"/>
      <w:ind w:firstLine="567"/>
      <w:outlineLvl w:val="9"/>
    </w:pPr>
    <w:rPr>
      <w:rFonts w:asciiTheme="majorHAnsi" w:hAnsiTheme="majorHAnsi"/>
      <w:color w:val="365F91" w:themeColor="accent1" w:themeShade="BF"/>
      <w:sz w:val="28"/>
    </w:rPr>
  </w:style>
  <w:style w:type="paragraph" w:customStyle="1" w:styleId="Standard">
    <w:name w:val="Standard"/>
    <w:rsid w:val="00D27B1A"/>
    <w:pPr>
      <w:suppressAutoHyphens/>
      <w:autoSpaceDN w:val="0"/>
      <w:spacing w:after="160" w:line="256" w:lineRule="auto"/>
    </w:pPr>
    <w:rPr>
      <w:rFonts w:ascii="Calibri" w:eastAsia="SimSun" w:hAnsi="Calibri" w:cs="Tahoma"/>
      <w:kern w:val="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99608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1567</Words>
  <Characters>9402</Characters>
  <Application>Microsoft Office Word</Application>
  <DocSecurity>0</DocSecurity>
  <Lines>78</Lines>
  <Paragraphs>21</Paragraphs>
  <ScaleCrop>false</ScaleCrop>
  <HeadingPairs>
    <vt:vector size="4" baseType="variant">
      <vt:variant>
        <vt:lpstr>Tytuł</vt:lpstr>
      </vt:variant>
      <vt:variant>
        <vt:i4>1</vt:i4>
      </vt:variant>
      <vt:variant>
        <vt:lpstr>Nagłówki</vt:lpstr>
      </vt:variant>
      <vt:variant>
        <vt:i4>67</vt:i4>
      </vt:variant>
    </vt:vector>
  </HeadingPairs>
  <TitlesOfParts>
    <vt:vector size="68" baseType="lpstr">
      <vt:lpstr/>
      <vt:lpstr>1. WSTĘP</vt:lpstr>
      <vt:lpstr>    1.1. Przedmiot ST</vt:lpstr>
      <vt:lpstr>    1.2. Zakres stosowania ST</vt:lpstr>
      <vt:lpstr>    1.3. Zakres robót objętych ST</vt:lpstr>
      <vt:lpstr>    1.4. Określenia podstawowe</vt:lpstr>
      <vt:lpstr>    1.5. Ogólne wymagania dotyczące robót</vt:lpstr>
      <vt:lpstr>    1.5.1. Przekazanie terenu budowy</vt:lpstr>
      <vt:lpstr>    1.5.2. Dokumentacja projektowa</vt:lpstr>
      <vt:lpstr>    1.5.3. Zgodność robot z dokumentacją projektową i SST</vt:lpstr>
      <vt:lpstr>        1.5.4. Zabezpieczenie terenu budowy</vt:lpstr>
      <vt:lpstr>        1.5.5. Ochrona środowiska w czasie wykonywania robot</vt:lpstr>
      <vt:lpstr>    1.5.6. Ochrona przeciwpożarowa</vt:lpstr>
      <vt:lpstr>        1.5.7. Ochrona własności publicznej i prywatnej</vt:lpstr>
      <vt:lpstr>        1.5.8. Ograniczenie obciążeń osi pojazdów</vt:lpstr>
      <vt:lpstr>        1.5.9. Bezpieczeństwo i higiena pracy</vt:lpstr>
      <vt:lpstr>        1.5.10. Ochrona i utrzymanie robot</vt:lpstr>
      <vt:lpstr>        1.5.11. Stosowanie się do prawa i innych przepisów</vt:lpstr>
      <vt:lpstr>2. MATERIAŁY</vt:lpstr>
      <vt:lpstr>    2.1. Źródła uzyskania materiałów do elementów konstrukcyjnych</vt:lpstr>
      <vt:lpstr>    2.2. Pozyskiwanie masowych materiałów pochodzenia miejscowego</vt:lpstr>
      <vt:lpstr>    2.3. Materiały nieodpowiadające wymaganiom jakościowym</vt:lpstr>
      <vt:lpstr>    2.4. Przechowywanie i składowanie materiałów</vt:lpstr>
      <vt:lpstr>    2.5. Wariantowe stosowanie materiałów</vt:lpstr>
      <vt:lpstr>3. SPRZĘT</vt:lpstr>
      <vt:lpstr>4. TRANSPORT</vt:lpstr>
      <vt:lpstr>    4.1. Ogólne wymagania dotyczące transportu</vt:lpstr>
      <vt:lpstr>    4.2. Wymagania dotyczące przewozu po drogach publicznych</vt:lpstr>
      <vt:lpstr>5. WYKONANIE ROBÓT</vt:lpstr>
      <vt:lpstr>    5.1. Przed rozpoczęciem robót wykonawca opracuje:</vt:lpstr>
      <vt:lpstr>6. KONTROLA JAKOŚCI ROBÓT</vt:lpstr>
      <vt:lpstr>    6.1. Program zapewnienia jakości</vt:lpstr>
      <vt:lpstr>6.2. Zasady kontroli jakości robót</vt:lpstr>
      <vt:lpstr>    6.3. Pobieranie próbek</vt:lpstr>
      <vt:lpstr>    6.4. Badania i pomiary</vt:lpstr>
      <vt:lpstr>    6.5. Raporty z badań</vt:lpstr>
      <vt:lpstr>    6.6. Badania prowadzone przez Inspektora nadzoru</vt:lpstr>
      <vt:lpstr>    6.7. Certyfikaty i deklaracje</vt:lpstr>
      <vt:lpstr>    6.8. Dokumenty budowy</vt:lpstr>
      <vt:lpstr>    6.8.1 Dziennik budowy</vt:lpstr>
      <vt:lpstr>    6.8.2 Książka obmiarów</vt:lpstr>
      <vt:lpstr>    6.8.3 Dokumenty laboratoryjne</vt:lpstr>
      <vt:lpstr>    6.8.4 Pozostałe dokumenty budowy</vt:lpstr>
      <vt:lpstr>    6.8.5 Przechowywanie dokumentów budowy</vt:lpstr>
      <vt:lpstr>7. OBMIAR ROBÓT</vt:lpstr>
      <vt:lpstr>    7.1. Ogólne zasady obmiaru robót</vt:lpstr>
      <vt:lpstr>    7.2. Zasady określania ilości robót i materiałów</vt:lpstr>
      <vt:lpstr>    7.3. Urządzenia i sprzęt pomiarowy</vt:lpstr>
      <vt:lpstr>    7.4. Wagi i zasady wdrażania</vt:lpstr>
      <vt:lpstr>8. ODBIÓR ROBÓT </vt:lpstr>
      <vt:lpstr>    8.1. Rodzaje odbiorów robót</vt:lpstr>
      <vt:lpstr>    8.2. Odbiór robót zanikających i ulegających zakryciu</vt:lpstr>
      <vt:lpstr>    8.3. Odbiór częściowy</vt:lpstr>
      <vt:lpstr>    8.4. Odbiór ostateczny (końcowy)</vt:lpstr>
      <vt:lpstr>        8.4.1. Zasady odbioru ostatecznego robot</vt:lpstr>
      <vt:lpstr>        8.4.2. Dokumenty do odbioru ostatecznego (końcowe)</vt:lpstr>
      <vt:lpstr>    8.5. Odbiór pogwarancyjny po upływie okresu rękojmi i gwarancji</vt:lpstr>
      <vt:lpstr>9. PODSTAWA PŁATNOŚCI</vt:lpstr>
      <vt:lpstr>    9.1. Ustalenia ogólne</vt:lpstr>
      <vt:lpstr>9.2. Objazdy, przejazdy i organizacja ruchu</vt:lpstr>
      <vt:lpstr>        9.2.1. Koszt wybudowania objazdów/przejazdów i organizacji ruchu obejmuje:</vt:lpstr>
      <vt:lpstr>        9.2.2. Koszt utrzymania objazdów/przejazdów i organizacji ruchu obejmuje:</vt:lpstr>
      <vt:lpstr>        9.2.3. Koszt likwidacji objazdów/przejazdów i organizacji ruchu obejmuje:</vt:lpstr>
      <vt:lpstr>        9.2.4. Koszt budowy, utrzymania i likwidacji objazdów, przejazdów i organizacji </vt:lpstr>
      <vt:lpstr>10. PRZEPISY ZWIĄZANE</vt:lpstr>
      <vt:lpstr>    10.1. Ustawy</vt:lpstr>
      <vt:lpstr>    10.2. Rozporządzenia</vt:lpstr>
      <vt:lpstr>    10.3. Inne dokumenty i instrukcje</vt:lpstr>
    </vt:vector>
  </TitlesOfParts>
  <Company/>
  <LinksUpToDate>false</LinksUpToDate>
  <CharactersWithSpaces>10948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Szymon Kot</dc:creator>
  <cp:lastModifiedBy>Szymon</cp:lastModifiedBy>
  <cp:revision>6</cp:revision>
  <cp:lastPrinted>2021-03-03T16:18:00Z</cp:lastPrinted>
  <dcterms:created xsi:type="dcterms:W3CDTF">2021-03-03T16:12:00Z</dcterms:created>
  <dcterms:modified xsi:type="dcterms:W3CDTF">2021-03-03T16:18:00Z</dcterms:modified>
</cp:coreProperties>
</file>