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663E7" w14:textId="77777777" w:rsidR="00CF1B9C" w:rsidRPr="00C20C19" w:rsidRDefault="00CF1B9C" w:rsidP="00101C1E">
      <w:pPr>
        <w:pStyle w:val="Tytu"/>
      </w:pPr>
      <w:r w:rsidRPr="00C20C19">
        <w:t>SPECYFIKACJE TECHNICZNE</w:t>
      </w:r>
    </w:p>
    <w:p w14:paraId="4F8365D7" w14:textId="77777777" w:rsidR="00CF1B9C" w:rsidRPr="00C20C19" w:rsidRDefault="00CF1B9C" w:rsidP="00101C1E">
      <w:pPr>
        <w:pStyle w:val="Tytu"/>
      </w:pPr>
      <w:r w:rsidRPr="00C20C19">
        <w:t>WYKONANIA I OBIORU ROBOT BUDOWLANYCH</w:t>
      </w:r>
    </w:p>
    <w:p w14:paraId="7EE6C989" w14:textId="77777777" w:rsidR="00CF1B9C" w:rsidRDefault="00CF1B9C" w:rsidP="00101C1E">
      <w:pPr>
        <w:pStyle w:val="Tytu"/>
      </w:pPr>
      <w:r w:rsidRPr="00C20C19">
        <w:rPr>
          <w:rFonts w:cs="GillSansMT,Bold"/>
        </w:rPr>
        <w:t xml:space="preserve">Kod CPV </w:t>
      </w:r>
      <w:r w:rsidRPr="00C20C19">
        <w:t>45000000-7</w:t>
      </w:r>
    </w:p>
    <w:p w14:paraId="76CE8434" w14:textId="77777777" w:rsidR="00C20C19" w:rsidRDefault="00C20C19" w:rsidP="00101C1E">
      <w:pPr>
        <w:pStyle w:val="Tytu"/>
      </w:pPr>
    </w:p>
    <w:p w14:paraId="6BB2AD68" w14:textId="77777777" w:rsidR="00C20C19" w:rsidRDefault="00C20C19" w:rsidP="00101C1E">
      <w:pPr>
        <w:pStyle w:val="Tytu"/>
      </w:pPr>
    </w:p>
    <w:p w14:paraId="40B36BFD" w14:textId="77777777" w:rsidR="00C20C19" w:rsidRDefault="00C20C19" w:rsidP="00101C1E">
      <w:pPr>
        <w:pStyle w:val="Tytu"/>
      </w:pPr>
    </w:p>
    <w:p w14:paraId="3E429078" w14:textId="77777777" w:rsidR="00C20C19" w:rsidRDefault="00C20C19" w:rsidP="00101C1E">
      <w:pPr>
        <w:pStyle w:val="Tytu"/>
      </w:pPr>
    </w:p>
    <w:p w14:paraId="1AAD10FB" w14:textId="77777777" w:rsidR="005171CB" w:rsidRPr="005171CB" w:rsidRDefault="005171CB" w:rsidP="00101C1E">
      <w:pPr>
        <w:pStyle w:val="Tytu"/>
      </w:pPr>
    </w:p>
    <w:p w14:paraId="7C71284C" w14:textId="3856714F" w:rsidR="00CF1B9C" w:rsidRPr="00C20C19" w:rsidRDefault="00D27B1A" w:rsidP="00101C1E">
      <w:pPr>
        <w:pStyle w:val="Tytu"/>
      </w:pPr>
      <w:r>
        <w:t>ROZEBRANIE POKRYCIA</w:t>
      </w:r>
    </w:p>
    <w:p w14:paraId="365CC4A8" w14:textId="77777777" w:rsidR="00D27B1A" w:rsidRDefault="00D27B1A" w:rsidP="00D27B1A">
      <w:pPr>
        <w:rPr>
          <w:rFonts w:ascii="Arial" w:eastAsia="Times New Roman" w:hAnsi="Arial" w:cs="Arial"/>
          <w:szCs w:val="20"/>
          <w:lang w:eastAsia="pl-PL"/>
        </w:rPr>
      </w:pPr>
    </w:p>
    <w:p w14:paraId="15E6DD2F" w14:textId="77777777" w:rsidR="00D27B1A" w:rsidRDefault="00D27B1A" w:rsidP="00D27B1A">
      <w:pPr>
        <w:pStyle w:val="Nagwek1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lastRenderedPageBreak/>
        <w:t>Wstęp 1.1. Przedmiot Specyfikacji</w:t>
      </w:r>
    </w:p>
    <w:p w14:paraId="54C01782" w14:textId="36124EA2" w:rsidR="00D27B1A" w:rsidRDefault="00D27B1A" w:rsidP="00D27B1A">
      <w:pPr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Przedmiotem niniejszej specyfikacji technicznej są wymagania dotyczące wykonania i odbioru następujących robót - Rozebranie pokryć dachowych</w:t>
      </w:r>
    </w:p>
    <w:p w14:paraId="6852C259" w14:textId="77777777" w:rsidR="00D27B1A" w:rsidRDefault="00D27B1A" w:rsidP="00D27B1A">
      <w:pPr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1.2. Zakres stosowania Specyfikacji</w:t>
      </w:r>
    </w:p>
    <w:p w14:paraId="49F6AE4B" w14:textId="77777777" w:rsidR="00D27B1A" w:rsidRDefault="00D27B1A" w:rsidP="00D27B1A">
      <w:pPr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Specyfikacja jest stosowana jako dokument przy zleceniu i realizacji robót wymienionych w punkcie 1.1.</w:t>
      </w:r>
    </w:p>
    <w:p w14:paraId="1789448C" w14:textId="77777777" w:rsidR="00D27B1A" w:rsidRDefault="00D27B1A" w:rsidP="00D27B1A">
      <w:pPr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1.3. Zakres robót objętych STWiOR</w:t>
      </w:r>
    </w:p>
    <w:p w14:paraId="08176569" w14:textId="16C751E6" w:rsidR="00D27B1A" w:rsidRDefault="00D27B1A" w:rsidP="00D27B1A">
      <w:pPr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 xml:space="preserve"> 1.3.1. Rozebranie pokryć dachowych.</w:t>
      </w:r>
    </w:p>
    <w:p w14:paraId="049A299E" w14:textId="490FE2DC" w:rsidR="00D27B1A" w:rsidRDefault="00D27B1A" w:rsidP="00D27B1A">
      <w:pPr>
        <w:pStyle w:val="Nagwek1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lastRenderedPageBreak/>
        <w:t>2. Materiały</w:t>
      </w:r>
    </w:p>
    <w:p w14:paraId="293B35EB" w14:textId="77777777" w:rsidR="00D27B1A" w:rsidRDefault="00D27B1A" w:rsidP="00D27B1A">
      <w:pPr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2.1. Materiały -wymagania ogólne</w:t>
      </w:r>
    </w:p>
    <w:p w14:paraId="5F902F97" w14:textId="77777777" w:rsidR="00D27B1A" w:rsidRDefault="00D27B1A" w:rsidP="00D27B1A">
      <w:pPr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2.1.1. Wymagania ogólne dotyczące materiałów, ich pozyskania i składowania podano w SST 00 "Wymagania ogólne" pkt 1.5.</w:t>
      </w:r>
    </w:p>
    <w:p w14:paraId="397EAF0A" w14:textId="77777777" w:rsidR="00D27B1A" w:rsidRDefault="00D27B1A" w:rsidP="00D27B1A">
      <w:pPr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2.2. Materiały</w:t>
      </w:r>
    </w:p>
    <w:p w14:paraId="4C0DDDC9" w14:textId="77777777" w:rsidR="00D27B1A" w:rsidRDefault="00D27B1A" w:rsidP="00D27B1A">
      <w:pPr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Demontaż pokryć dachowych należy przeprowadzić z segregacją materiału. Materiał nie nadający się do ponownego montażu należy wywieźć do utylizacji. Rozbiórkę lub ociosanie elementów drewnianych należy przeprowadzić bez odzysku materiałów. Materiały uzyskane z rozbiórki należy posegregować i wywieźć do utylizacji. Należy przeprowadzić demontaż instalacji odgromowej. Wykonawca przedstawi podczas odbioru robót dokumenty świadczące o prawidłowym, zgodnym z zasadami ochrony środowiska, wywozie materiałów pochodzących z demontażu.</w:t>
      </w:r>
    </w:p>
    <w:p w14:paraId="4B0248FA" w14:textId="42B1733D" w:rsidR="00D27B1A" w:rsidRDefault="00D27B1A" w:rsidP="00D27B1A">
      <w:pPr>
        <w:pStyle w:val="Nagwek1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lastRenderedPageBreak/>
        <w:t xml:space="preserve">3. Sprzęt </w:t>
      </w:r>
    </w:p>
    <w:p w14:paraId="31B67A4F" w14:textId="1D57CC8D" w:rsidR="00D27B1A" w:rsidRDefault="00D27B1A" w:rsidP="00D27B1A">
      <w:pPr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Sprzęt - wymagania ogólne</w:t>
      </w:r>
    </w:p>
    <w:p w14:paraId="407EFA39" w14:textId="2C9ECA52" w:rsidR="00D27B1A" w:rsidRDefault="00D27B1A" w:rsidP="00D27B1A">
      <w:pPr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Wymagania ogólne dotyczące sprzętu podano w SST 00"Wymagania ogólne" pkt 3. 4.</w:t>
      </w:r>
    </w:p>
    <w:p w14:paraId="0AFC1A22" w14:textId="77777777" w:rsidR="00D27B1A" w:rsidRDefault="00D27B1A" w:rsidP="00D27B1A">
      <w:pPr>
        <w:pStyle w:val="Nagwek1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lastRenderedPageBreak/>
        <w:t>Transport</w:t>
      </w:r>
    </w:p>
    <w:p w14:paraId="62522828" w14:textId="3F60E45D" w:rsidR="00D27B1A" w:rsidRDefault="00D27B1A" w:rsidP="00D27B1A">
      <w:pPr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 xml:space="preserve"> 4.1 Wymagania ogólne dotyczace transportu podano w SST 00 "Wymagania ogólne" pkt 4.</w:t>
      </w:r>
    </w:p>
    <w:p w14:paraId="04DB835E" w14:textId="03259037" w:rsidR="00D27B1A" w:rsidRDefault="00D27B1A" w:rsidP="00D27B1A">
      <w:pPr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4.2. Transport materiałów z rozbiórki środkami transportu. Przewożony ładunek zabezpieczyć przed spadaniem i przesuwaniem</w:t>
      </w:r>
    </w:p>
    <w:p w14:paraId="744B51C9" w14:textId="77777777" w:rsidR="00D27B1A" w:rsidRDefault="00D27B1A" w:rsidP="00D27B1A">
      <w:pPr>
        <w:pStyle w:val="Nagwek1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lastRenderedPageBreak/>
        <w:t>5. Wykonanie robót</w:t>
      </w:r>
    </w:p>
    <w:p w14:paraId="088D8568" w14:textId="77777777" w:rsidR="00D27B1A" w:rsidRDefault="00D27B1A" w:rsidP="00D27B1A">
      <w:pPr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5.1. Wykonanie robót -zasady ogólne</w:t>
      </w:r>
    </w:p>
    <w:p w14:paraId="3843A426" w14:textId="77777777" w:rsidR="00D27B1A" w:rsidRDefault="00D27B1A" w:rsidP="00D27B1A">
      <w:pPr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5.1.1. Zasady ogólne wykonania robót podano w SST 00 "Wymagania ogólne" pkt 5. 5.2.Roboty przygotowawcze</w:t>
      </w:r>
    </w:p>
    <w:p w14:paraId="15FD1695" w14:textId="77777777" w:rsidR="00D27B1A" w:rsidRDefault="00D27B1A" w:rsidP="00D27B1A">
      <w:pPr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Przed przystąpieniem do robót rozbiórkowych należy:–teren ogrodzić i oznakować zgodnie z wymogami BHP,</w:t>
      </w:r>
    </w:p>
    <w:p w14:paraId="2957FE43" w14:textId="77777777" w:rsidR="00D27B1A" w:rsidRDefault="00D27B1A" w:rsidP="00D27B1A">
      <w:pPr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5.3.Roboty rozbiórkowe</w:t>
      </w:r>
    </w:p>
    <w:p w14:paraId="2FC229A8" w14:textId="6592526E" w:rsidR="00D27B1A" w:rsidRDefault="00D27B1A" w:rsidP="00D27B1A">
      <w:pPr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Roboty prowadzić zgodnie z rozporządzeniem Ministra Infrastruktury z dnia 06.02.2003 r. (Dz.U. Nr47 poz. 401) w sprawie bezpieczeństwa i higieny pracy podczas wykonywania robót budowlanych.(1)Pokrycie dachowe rozbierać ręcznie. Materiał poza obręb budynku znosić lub spuszczać rynnami w sposób zabezpieczający przed uszkodzeniem. . Materiał odnieść poza obręb budynku.</w:t>
      </w:r>
    </w:p>
    <w:p w14:paraId="46C4D94A" w14:textId="77777777" w:rsidR="00D27B1A" w:rsidRDefault="00D27B1A" w:rsidP="00D27B1A">
      <w:pPr>
        <w:pStyle w:val="Nagwek1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lastRenderedPageBreak/>
        <w:t>6. Kontrola jakości robót</w:t>
      </w:r>
    </w:p>
    <w:p w14:paraId="08D0BBC3" w14:textId="77777777" w:rsidR="00D27B1A" w:rsidRDefault="00D27B1A" w:rsidP="00D27B1A">
      <w:pPr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6.1. Kontrola jakości robót -zasady ogólne Zasady ogólne kontroli jakości robót podano w SST 00 "Wymagania ogólne" pkt 6.</w:t>
      </w:r>
    </w:p>
    <w:p w14:paraId="4ABFCD14" w14:textId="77777777" w:rsidR="00D27B1A" w:rsidRDefault="00D27B1A" w:rsidP="00D27B1A">
      <w:pPr>
        <w:pStyle w:val="Nagwek1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lastRenderedPageBreak/>
        <w:t>7. Obmiar robót</w:t>
      </w:r>
    </w:p>
    <w:p w14:paraId="3B2B5CAC" w14:textId="77777777" w:rsidR="00D27B1A" w:rsidRDefault="00D27B1A" w:rsidP="00D27B1A">
      <w:pPr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7.1. Obmiar robót -zasady ogólne Zasady ogólne obmiaru robót podano w: -specyfikacji technicznej SST00"Wymagania ogólne" pkt 7 -założeniach ogólnych katalogu nakładów rzeczowych KNR 4-01, KNR 4047.2. Obmiar robót -zasady szczegółowe Zasady szczegółowe przedmiaru podane sa: -w katalogu KNR 4-01 i KNR 404, TZKNRB –rozdziały dotyczące robót rozbiórkowych pokryć dachowych, wymiany elementów drewnianych.</w:t>
      </w:r>
    </w:p>
    <w:p w14:paraId="098EF540" w14:textId="77777777" w:rsidR="00D27B1A" w:rsidRDefault="00D27B1A" w:rsidP="00D27B1A">
      <w:pPr>
        <w:pStyle w:val="Nagwek1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lastRenderedPageBreak/>
        <w:t>8. Odbiór robót</w:t>
      </w:r>
    </w:p>
    <w:p w14:paraId="4C6345A8" w14:textId="77777777" w:rsidR="00D27B1A" w:rsidRDefault="00D27B1A" w:rsidP="00D27B1A">
      <w:pPr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8.1. Odbiór robót -zasady ogólne Zasady ogólne odbioru robót podano w SST00"Wymagania ogólne" pkt 8.</w:t>
      </w:r>
    </w:p>
    <w:p w14:paraId="17741AB8" w14:textId="77777777" w:rsidR="00D27B1A" w:rsidRDefault="00D27B1A" w:rsidP="00D27B1A">
      <w:pPr>
        <w:pStyle w:val="Nagwek1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lastRenderedPageBreak/>
        <w:t>9. Podstawa płatności</w:t>
      </w:r>
    </w:p>
    <w:p w14:paraId="5C31D2C5" w14:textId="77777777" w:rsidR="00D27B1A" w:rsidRDefault="00D27B1A" w:rsidP="00D27B1A">
      <w:pPr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9.1. Podstawa płatności -zasady ogólne Zasady ogólne dotyczące podstawy płatności podano w SST00pkt 9.</w:t>
      </w:r>
    </w:p>
    <w:p w14:paraId="7E6FA5CE" w14:textId="77777777" w:rsidR="00D27B1A" w:rsidRDefault="00D27B1A" w:rsidP="00D27B1A">
      <w:pPr>
        <w:pStyle w:val="Nagwek1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lastRenderedPageBreak/>
        <w:t>10. Przepisy związane</w:t>
      </w:r>
    </w:p>
    <w:p w14:paraId="1C38D2AA" w14:textId="77777777" w:rsidR="00D27B1A" w:rsidRDefault="00D27B1A" w:rsidP="00D27B1A">
      <w:pPr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10.1. Ogólne przepisy związane z wykonaniem robót podano w SST 00 pkt 10.</w:t>
      </w:r>
    </w:p>
    <w:p w14:paraId="4AF67CEE" w14:textId="77777777" w:rsidR="00D27B1A" w:rsidRDefault="00D27B1A" w:rsidP="00D27B1A">
      <w:pPr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10.2.Materiały uzyskane z rozbiórek do ponownego wbudowania zakwalifikuje inspektor nadzoru .</w:t>
      </w:r>
    </w:p>
    <w:p w14:paraId="6D2380A3" w14:textId="77777777" w:rsidR="00D27B1A" w:rsidRDefault="00D27B1A" w:rsidP="00D27B1A">
      <w:pPr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10.3.Ilości robót rozbiórkowych mogą ulec zmianie na podstawie decyzji inspektora nadzoru</w:t>
      </w:r>
    </w:p>
    <w:sectPr w:rsidR="00D27B1A" w:rsidSect="009011EE">
      <w:headerReference w:type="default" r:id="rId7"/>
      <w:footerReference w:type="default" r:id="rId8"/>
      <w:pgSz w:w="11906" w:h="16838" w:code="9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54DD7" w14:textId="77777777" w:rsidR="001E1C0C" w:rsidRDefault="001E1C0C" w:rsidP="004A6186">
      <w:r>
        <w:separator/>
      </w:r>
    </w:p>
  </w:endnote>
  <w:endnote w:type="continuationSeparator" w:id="0">
    <w:p w14:paraId="5C20945A" w14:textId="77777777" w:rsidR="001E1C0C" w:rsidRDefault="001E1C0C" w:rsidP="004A6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illSan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illSansMT,Bold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Wyrnieniedelikatne"/>
      </w:rPr>
      <w:id w:val="-2058919153"/>
      <w:docPartObj>
        <w:docPartGallery w:val="Page Numbers (Bottom of Page)"/>
        <w:docPartUnique/>
      </w:docPartObj>
    </w:sdtPr>
    <w:sdtEndPr>
      <w:rPr>
        <w:rStyle w:val="Wyrnieniedelikatne"/>
      </w:rPr>
    </w:sdtEndPr>
    <w:sdtContent>
      <w:sdt>
        <w:sdtPr>
          <w:rPr>
            <w:rStyle w:val="Wyrnieniedelikatne"/>
          </w:rPr>
          <w:id w:val="2091961786"/>
          <w:docPartObj>
            <w:docPartGallery w:val="Page Numbers (Top of Page)"/>
            <w:docPartUnique/>
          </w:docPartObj>
        </w:sdtPr>
        <w:sdtEndPr>
          <w:rPr>
            <w:rStyle w:val="Wyrnieniedelikatne"/>
          </w:rPr>
        </w:sdtEndPr>
        <w:sdtContent>
          <w:p w14:paraId="0CBEB6A1" w14:textId="77777777" w:rsidR="000C4CCF" w:rsidRPr="005171CB" w:rsidRDefault="000C4CCF" w:rsidP="005171CB">
            <w:pPr>
              <w:pStyle w:val="Podtytu"/>
              <w:rPr>
                <w:rStyle w:val="Wyrnieniedelikatne"/>
              </w:rPr>
            </w:pPr>
            <w:r w:rsidRPr="005171CB">
              <w:rPr>
                <w:rStyle w:val="Wyrnieniedelikatne"/>
              </w:rPr>
              <w:t xml:space="preserve">Strona </w:t>
            </w:r>
            <w:r w:rsidRPr="005171CB">
              <w:rPr>
                <w:rStyle w:val="Wyrnieniedelikatne"/>
              </w:rPr>
              <w:fldChar w:fldCharType="begin"/>
            </w:r>
            <w:r w:rsidRPr="005171CB">
              <w:rPr>
                <w:rStyle w:val="Wyrnieniedelikatne"/>
              </w:rPr>
              <w:instrText>PAGE</w:instrText>
            </w:r>
            <w:r w:rsidRPr="005171CB">
              <w:rPr>
                <w:rStyle w:val="Wyrnieniedelikatne"/>
              </w:rPr>
              <w:fldChar w:fldCharType="separate"/>
            </w:r>
            <w:r w:rsidR="0031539A">
              <w:rPr>
                <w:rStyle w:val="Wyrnieniedelikatne"/>
                <w:noProof/>
              </w:rPr>
              <w:t>2</w:t>
            </w:r>
            <w:r w:rsidRPr="005171CB">
              <w:rPr>
                <w:rStyle w:val="Wyrnieniedelikatne"/>
              </w:rPr>
              <w:fldChar w:fldCharType="end"/>
            </w:r>
            <w:r w:rsidRPr="005171CB">
              <w:rPr>
                <w:rStyle w:val="Wyrnieniedelikatne"/>
              </w:rPr>
              <w:t xml:space="preserve"> z </w:t>
            </w:r>
            <w:r w:rsidRPr="005171CB">
              <w:rPr>
                <w:rStyle w:val="Wyrnieniedelikatne"/>
              </w:rPr>
              <w:fldChar w:fldCharType="begin"/>
            </w:r>
            <w:r w:rsidRPr="005171CB">
              <w:rPr>
                <w:rStyle w:val="Wyrnieniedelikatne"/>
              </w:rPr>
              <w:instrText>NUMPAGES</w:instrText>
            </w:r>
            <w:r w:rsidRPr="005171CB">
              <w:rPr>
                <w:rStyle w:val="Wyrnieniedelikatne"/>
              </w:rPr>
              <w:fldChar w:fldCharType="separate"/>
            </w:r>
            <w:r w:rsidR="0031539A">
              <w:rPr>
                <w:rStyle w:val="Wyrnieniedelikatne"/>
                <w:noProof/>
              </w:rPr>
              <w:t>23</w:t>
            </w:r>
            <w:r w:rsidRPr="005171CB">
              <w:rPr>
                <w:rStyle w:val="Wyrnieniedelikatne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19631" w14:textId="77777777" w:rsidR="001E1C0C" w:rsidRDefault="001E1C0C" w:rsidP="004A6186">
      <w:r>
        <w:separator/>
      </w:r>
    </w:p>
  </w:footnote>
  <w:footnote w:type="continuationSeparator" w:id="0">
    <w:p w14:paraId="26C45FE2" w14:textId="77777777" w:rsidR="001E1C0C" w:rsidRDefault="001E1C0C" w:rsidP="004A6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DABD2" w14:textId="2D88E2F5" w:rsidR="000C4CCF" w:rsidRPr="004A6186" w:rsidRDefault="000C4CCF" w:rsidP="005171CB">
    <w:pPr>
      <w:pStyle w:val="Podtytu"/>
    </w:pPr>
    <w:r w:rsidRPr="00A562C5">
      <w:t>SPECYFIKACJE TECHNICZNE WYKONANIA I OBIORU ROBOT BUDOWLANYCH</w:t>
    </w:r>
    <w:r w:rsidR="004A6186">
      <w:br/>
    </w:r>
    <w:r w:rsidR="00D27B1A">
      <w:rPr>
        <w:rFonts w:cs="GillSansMT,Bold"/>
        <w:bCs/>
      </w:rPr>
      <w:t>ROZEBRANIE POKRYCIA</w:t>
    </w:r>
    <w:r w:rsidR="00A562C5" w:rsidRPr="00A562C5">
      <w:rPr>
        <w:rFonts w:cs="GillSansMT,Bold"/>
        <w:bCs/>
      </w:rPr>
      <w:t xml:space="preserve"> </w:t>
    </w:r>
    <w:r w:rsidR="00A562C5" w:rsidRPr="00A562C5">
      <w:t>- KOD CPV 45000000-7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125B6"/>
    <w:multiLevelType w:val="hybridMultilevel"/>
    <w:tmpl w:val="D1CE5E3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615EB"/>
    <w:multiLevelType w:val="hybridMultilevel"/>
    <w:tmpl w:val="171E44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07AFA"/>
    <w:multiLevelType w:val="hybridMultilevel"/>
    <w:tmpl w:val="ABF2E442"/>
    <w:lvl w:ilvl="0" w:tplc="05A4BC3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A2443DF"/>
    <w:multiLevelType w:val="multilevel"/>
    <w:tmpl w:val="0DEEA94A"/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A7E30AC"/>
    <w:multiLevelType w:val="hybridMultilevel"/>
    <w:tmpl w:val="9F282B8A"/>
    <w:lvl w:ilvl="0" w:tplc="95E87B24">
      <w:numFmt w:val="bullet"/>
      <w:lvlText w:val="·"/>
      <w:lvlJc w:val="left"/>
      <w:pPr>
        <w:ind w:left="720" w:hanging="360"/>
      </w:pPr>
      <w:rPr>
        <w:rFonts w:ascii="Calibri" w:eastAsiaTheme="minorHAnsi" w:hAnsi="Calibri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41DF7"/>
    <w:multiLevelType w:val="hybridMultilevel"/>
    <w:tmpl w:val="967C8EC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EB15B2E"/>
    <w:multiLevelType w:val="hybridMultilevel"/>
    <w:tmpl w:val="7E1C79E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238196E"/>
    <w:multiLevelType w:val="hybridMultilevel"/>
    <w:tmpl w:val="70BAF36A"/>
    <w:lvl w:ilvl="0" w:tplc="1A8CB25C">
      <w:start w:val="1"/>
      <w:numFmt w:val="bullet"/>
      <w:lvlText w:val="·"/>
      <w:lvlJc w:val="left"/>
      <w:pPr>
        <w:ind w:left="720" w:hanging="360"/>
      </w:pPr>
      <w:rPr>
        <w:rFonts w:ascii="Calibri" w:eastAsiaTheme="minorHAnsi" w:hAnsi="Calibri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F0B6A"/>
    <w:multiLevelType w:val="hybridMultilevel"/>
    <w:tmpl w:val="771A8AD0"/>
    <w:lvl w:ilvl="0" w:tplc="3982833E">
      <w:start w:val="1"/>
      <w:numFmt w:val="lowerLetter"/>
      <w:lvlText w:val="(%1)"/>
      <w:lvlJc w:val="left"/>
      <w:pPr>
        <w:ind w:left="1143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B8E40C0"/>
    <w:multiLevelType w:val="hybridMultilevel"/>
    <w:tmpl w:val="1A1AD218"/>
    <w:lvl w:ilvl="0" w:tplc="1A8CB25C">
      <w:start w:val="1"/>
      <w:numFmt w:val="bullet"/>
      <w:lvlText w:val="·"/>
      <w:lvlJc w:val="left"/>
      <w:pPr>
        <w:ind w:left="720" w:hanging="360"/>
      </w:pPr>
      <w:rPr>
        <w:rFonts w:ascii="Calibri" w:eastAsiaTheme="minorHAnsi" w:hAnsi="Calibri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74C77"/>
    <w:multiLevelType w:val="multilevel"/>
    <w:tmpl w:val="639A9520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1D987E67"/>
    <w:multiLevelType w:val="hybridMultilevel"/>
    <w:tmpl w:val="F4527E08"/>
    <w:lvl w:ilvl="0" w:tplc="1C6A62AC">
      <w:start w:val="1"/>
      <w:numFmt w:val="decimal"/>
      <w:lvlText w:val="%1."/>
      <w:lvlJc w:val="left"/>
      <w:pPr>
        <w:ind w:left="1068" w:hanging="360"/>
      </w:pPr>
      <w:rPr>
        <w:rFonts w:eastAsia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E9C71C0"/>
    <w:multiLevelType w:val="hybridMultilevel"/>
    <w:tmpl w:val="248C7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833F02"/>
    <w:multiLevelType w:val="hybridMultilevel"/>
    <w:tmpl w:val="DF26693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4503821"/>
    <w:multiLevelType w:val="hybridMultilevel"/>
    <w:tmpl w:val="1C843B1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46C0802"/>
    <w:multiLevelType w:val="hybridMultilevel"/>
    <w:tmpl w:val="D91CA3D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4DE1F8E"/>
    <w:multiLevelType w:val="hybridMultilevel"/>
    <w:tmpl w:val="761A5B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1F4614"/>
    <w:multiLevelType w:val="hybridMultilevel"/>
    <w:tmpl w:val="0E88D04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93B75DC"/>
    <w:multiLevelType w:val="hybridMultilevel"/>
    <w:tmpl w:val="C99E4D10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4D87417"/>
    <w:multiLevelType w:val="hybridMultilevel"/>
    <w:tmpl w:val="D9F418EC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6216055"/>
    <w:multiLevelType w:val="hybridMultilevel"/>
    <w:tmpl w:val="F5AC6EA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386415D2"/>
    <w:multiLevelType w:val="hybridMultilevel"/>
    <w:tmpl w:val="D624B7CE"/>
    <w:lvl w:ilvl="0" w:tplc="AE0EE104">
      <w:start w:val="1"/>
      <w:numFmt w:val="lowerLetter"/>
      <w:lvlText w:val="%1)"/>
      <w:lvlJc w:val="left"/>
      <w:pPr>
        <w:ind w:left="1068" w:hanging="360"/>
      </w:pPr>
      <w:rPr>
        <w:rFonts w:eastAsia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CF835CE"/>
    <w:multiLevelType w:val="hybridMultilevel"/>
    <w:tmpl w:val="C1C42090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42295210"/>
    <w:multiLevelType w:val="hybridMultilevel"/>
    <w:tmpl w:val="ED36CE4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5200C6F"/>
    <w:multiLevelType w:val="hybridMultilevel"/>
    <w:tmpl w:val="6C2C6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5201CC"/>
    <w:multiLevelType w:val="hybridMultilevel"/>
    <w:tmpl w:val="4F98F3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EC1623"/>
    <w:multiLevelType w:val="hybridMultilevel"/>
    <w:tmpl w:val="05D41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2330D1"/>
    <w:multiLevelType w:val="hybridMultilevel"/>
    <w:tmpl w:val="DB6EB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8423C7"/>
    <w:multiLevelType w:val="hybridMultilevel"/>
    <w:tmpl w:val="83049AFE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54115A1B"/>
    <w:multiLevelType w:val="multilevel"/>
    <w:tmpl w:val="0444F496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56316DDC"/>
    <w:multiLevelType w:val="hybridMultilevel"/>
    <w:tmpl w:val="2376B65E"/>
    <w:lvl w:ilvl="0" w:tplc="BB30AB6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95C771F"/>
    <w:multiLevelType w:val="hybridMultilevel"/>
    <w:tmpl w:val="7D8A93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C6D1DC5"/>
    <w:multiLevelType w:val="multilevel"/>
    <w:tmpl w:val="8DFA56F4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3" w15:restartNumberingAfterBreak="0">
    <w:nsid w:val="5EBE64FA"/>
    <w:multiLevelType w:val="hybridMultilevel"/>
    <w:tmpl w:val="E124DD8C"/>
    <w:lvl w:ilvl="0" w:tplc="DF6CCA7C">
      <w:start w:val="1"/>
      <w:numFmt w:val="decimal"/>
      <w:lvlText w:val="%1)"/>
      <w:lvlJc w:val="left"/>
      <w:pPr>
        <w:ind w:left="1068" w:hanging="360"/>
      </w:pPr>
      <w:rPr>
        <w:rFonts w:eastAsiaTheme="minorHAnsi" w:cs="Arial" w:hint="default"/>
      </w:rPr>
    </w:lvl>
    <w:lvl w:ilvl="1" w:tplc="DE8AEAD4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F174957"/>
    <w:multiLevelType w:val="hybridMultilevel"/>
    <w:tmpl w:val="951E22C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3631C0C"/>
    <w:multiLevelType w:val="hybridMultilevel"/>
    <w:tmpl w:val="7A48AE4C"/>
    <w:lvl w:ilvl="0" w:tplc="1E46CA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8B797A"/>
    <w:multiLevelType w:val="hybridMultilevel"/>
    <w:tmpl w:val="06B6C41C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5AC43D8"/>
    <w:multiLevelType w:val="hybridMultilevel"/>
    <w:tmpl w:val="44BC4C12"/>
    <w:lvl w:ilvl="0" w:tplc="A11646DE">
      <w:start w:val="1"/>
      <w:numFmt w:val="decimal"/>
      <w:lvlText w:val="%1."/>
      <w:lvlJc w:val="left"/>
      <w:pPr>
        <w:ind w:left="720" w:hanging="360"/>
      </w:pPr>
      <w:rPr>
        <w:rFonts w:eastAsia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0544DF"/>
    <w:multiLevelType w:val="hybridMultilevel"/>
    <w:tmpl w:val="EAA8C7D4"/>
    <w:lvl w:ilvl="0" w:tplc="54409C5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86064E"/>
    <w:multiLevelType w:val="hybridMultilevel"/>
    <w:tmpl w:val="1226A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8C6E47"/>
    <w:multiLevelType w:val="hybridMultilevel"/>
    <w:tmpl w:val="D65E6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243801"/>
    <w:multiLevelType w:val="hybridMultilevel"/>
    <w:tmpl w:val="9462F5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9356F2"/>
    <w:multiLevelType w:val="multilevel"/>
    <w:tmpl w:val="AE14A6F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3" w15:restartNumberingAfterBreak="0">
    <w:nsid w:val="6FAE2D9C"/>
    <w:multiLevelType w:val="hybridMultilevel"/>
    <w:tmpl w:val="F8D8F78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5FE682A"/>
    <w:multiLevelType w:val="hybridMultilevel"/>
    <w:tmpl w:val="E514BE4E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A403585"/>
    <w:multiLevelType w:val="hybridMultilevel"/>
    <w:tmpl w:val="F0884E4E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B3A30B7"/>
    <w:multiLevelType w:val="hybridMultilevel"/>
    <w:tmpl w:val="4BFC54C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DA73A53"/>
    <w:multiLevelType w:val="hybridMultilevel"/>
    <w:tmpl w:val="678ABA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0"/>
  </w:num>
  <w:num w:numId="3">
    <w:abstractNumId w:val="47"/>
  </w:num>
  <w:num w:numId="4">
    <w:abstractNumId w:val="11"/>
  </w:num>
  <w:num w:numId="5">
    <w:abstractNumId w:val="26"/>
  </w:num>
  <w:num w:numId="6">
    <w:abstractNumId w:val="9"/>
  </w:num>
  <w:num w:numId="7">
    <w:abstractNumId w:val="7"/>
  </w:num>
  <w:num w:numId="8">
    <w:abstractNumId w:val="17"/>
  </w:num>
  <w:num w:numId="9">
    <w:abstractNumId w:val="41"/>
  </w:num>
  <w:num w:numId="10">
    <w:abstractNumId w:val="4"/>
  </w:num>
  <w:num w:numId="11">
    <w:abstractNumId w:val="27"/>
  </w:num>
  <w:num w:numId="12">
    <w:abstractNumId w:val="25"/>
  </w:num>
  <w:num w:numId="13">
    <w:abstractNumId w:val="19"/>
  </w:num>
  <w:num w:numId="14">
    <w:abstractNumId w:val="8"/>
  </w:num>
  <w:num w:numId="15">
    <w:abstractNumId w:val="36"/>
  </w:num>
  <w:num w:numId="16">
    <w:abstractNumId w:val="38"/>
  </w:num>
  <w:num w:numId="17">
    <w:abstractNumId w:val="45"/>
  </w:num>
  <w:num w:numId="18">
    <w:abstractNumId w:val="44"/>
  </w:num>
  <w:num w:numId="19">
    <w:abstractNumId w:val="35"/>
  </w:num>
  <w:num w:numId="20">
    <w:abstractNumId w:val="24"/>
  </w:num>
  <w:num w:numId="21">
    <w:abstractNumId w:val="39"/>
  </w:num>
  <w:num w:numId="22">
    <w:abstractNumId w:val="12"/>
  </w:num>
  <w:num w:numId="23">
    <w:abstractNumId w:val="5"/>
  </w:num>
  <w:num w:numId="24">
    <w:abstractNumId w:val="30"/>
  </w:num>
  <w:num w:numId="25">
    <w:abstractNumId w:val="43"/>
  </w:num>
  <w:num w:numId="26">
    <w:abstractNumId w:val="21"/>
  </w:num>
  <w:num w:numId="27">
    <w:abstractNumId w:val="6"/>
  </w:num>
  <w:num w:numId="28">
    <w:abstractNumId w:val="37"/>
  </w:num>
  <w:num w:numId="29">
    <w:abstractNumId w:val="20"/>
  </w:num>
  <w:num w:numId="30">
    <w:abstractNumId w:val="2"/>
  </w:num>
  <w:num w:numId="31">
    <w:abstractNumId w:val="16"/>
  </w:num>
  <w:num w:numId="32">
    <w:abstractNumId w:val="33"/>
  </w:num>
  <w:num w:numId="33">
    <w:abstractNumId w:val="15"/>
  </w:num>
  <w:num w:numId="34">
    <w:abstractNumId w:val="34"/>
  </w:num>
  <w:num w:numId="35">
    <w:abstractNumId w:val="14"/>
  </w:num>
  <w:num w:numId="36">
    <w:abstractNumId w:val="23"/>
  </w:num>
  <w:num w:numId="37">
    <w:abstractNumId w:val="18"/>
  </w:num>
  <w:num w:numId="38">
    <w:abstractNumId w:val="28"/>
  </w:num>
  <w:num w:numId="39">
    <w:abstractNumId w:val="22"/>
  </w:num>
  <w:num w:numId="40">
    <w:abstractNumId w:val="31"/>
  </w:num>
  <w:num w:numId="41">
    <w:abstractNumId w:val="0"/>
  </w:num>
  <w:num w:numId="42">
    <w:abstractNumId w:val="13"/>
  </w:num>
  <w:num w:numId="43">
    <w:abstractNumId w:val="46"/>
  </w:num>
  <w:num w:numId="44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2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B9C"/>
    <w:rsid w:val="00002980"/>
    <w:rsid w:val="000347A5"/>
    <w:rsid w:val="000527DA"/>
    <w:rsid w:val="00073A47"/>
    <w:rsid w:val="00091A2A"/>
    <w:rsid w:val="000C4CCF"/>
    <w:rsid w:val="000C79DC"/>
    <w:rsid w:val="000F01EE"/>
    <w:rsid w:val="0010056A"/>
    <w:rsid w:val="00101C1E"/>
    <w:rsid w:val="001106D1"/>
    <w:rsid w:val="00116728"/>
    <w:rsid w:val="00126366"/>
    <w:rsid w:val="0013667B"/>
    <w:rsid w:val="00143414"/>
    <w:rsid w:val="0017411F"/>
    <w:rsid w:val="00175541"/>
    <w:rsid w:val="001E1C0C"/>
    <w:rsid w:val="00202E20"/>
    <w:rsid w:val="002656B8"/>
    <w:rsid w:val="0028248F"/>
    <w:rsid w:val="00286FD9"/>
    <w:rsid w:val="002A151E"/>
    <w:rsid w:val="002A1B93"/>
    <w:rsid w:val="002D5D14"/>
    <w:rsid w:val="002F17C3"/>
    <w:rsid w:val="0031539A"/>
    <w:rsid w:val="003403ED"/>
    <w:rsid w:val="0034555E"/>
    <w:rsid w:val="00345CA3"/>
    <w:rsid w:val="00350715"/>
    <w:rsid w:val="0035398A"/>
    <w:rsid w:val="00365384"/>
    <w:rsid w:val="00385640"/>
    <w:rsid w:val="003B4101"/>
    <w:rsid w:val="003B6F42"/>
    <w:rsid w:val="003E4D21"/>
    <w:rsid w:val="00400F81"/>
    <w:rsid w:val="00440CA6"/>
    <w:rsid w:val="00461C20"/>
    <w:rsid w:val="00477E57"/>
    <w:rsid w:val="00477F05"/>
    <w:rsid w:val="00487288"/>
    <w:rsid w:val="004A02B9"/>
    <w:rsid w:val="004A6186"/>
    <w:rsid w:val="004B5688"/>
    <w:rsid w:val="004C3FF4"/>
    <w:rsid w:val="004D5059"/>
    <w:rsid w:val="004D72F2"/>
    <w:rsid w:val="0050081B"/>
    <w:rsid w:val="005171CB"/>
    <w:rsid w:val="00567E14"/>
    <w:rsid w:val="005A05D9"/>
    <w:rsid w:val="005B5630"/>
    <w:rsid w:val="006352EB"/>
    <w:rsid w:val="006A407B"/>
    <w:rsid w:val="006B6120"/>
    <w:rsid w:val="006E5A03"/>
    <w:rsid w:val="006F23D9"/>
    <w:rsid w:val="0070404F"/>
    <w:rsid w:val="00711067"/>
    <w:rsid w:val="0075120F"/>
    <w:rsid w:val="00754E44"/>
    <w:rsid w:val="007868DA"/>
    <w:rsid w:val="007F3B8A"/>
    <w:rsid w:val="00817436"/>
    <w:rsid w:val="008201A8"/>
    <w:rsid w:val="00841C55"/>
    <w:rsid w:val="00855574"/>
    <w:rsid w:val="00861E70"/>
    <w:rsid w:val="008848F7"/>
    <w:rsid w:val="008A3EFE"/>
    <w:rsid w:val="008B186C"/>
    <w:rsid w:val="008B439B"/>
    <w:rsid w:val="008C7479"/>
    <w:rsid w:val="008E35FD"/>
    <w:rsid w:val="009011EE"/>
    <w:rsid w:val="00975691"/>
    <w:rsid w:val="009813F9"/>
    <w:rsid w:val="009B2675"/>
    <w:rsid w:val="009B55EF"/>
    <w:rsid w:val="00A046A2"/>
    <w:rsid w:val="00A150B8"/>
    <w:rsid w:val="00A562C5"/>
    <w:rsid w:val="00AB4BE5"/>
    <w:rsid w:val="00AB4BFB"/>
    <w:rsid w:val="00AC4EA1"/>
    <w:rsid w:val="00B21C57"/>
    <w:rsid w:val="00B24169"/>
    <w:rsid w:val="00B60F1D"/>
    <w:rsid w:val="00B62E3C"/>
    <w:rsid w:val="00B662EF"/>
    <w:rsid w:val="00B80563"/>
    <w:rsid w:val="00BA60E5"/>
    <w:rsid w:val="00BB2360"/>
    <w:rsid w:val="00C20C19"/>
    <w:rsid w:val="00C322A6"/>
    <w:rsid w:val="00C43D97"/>
    <w:rsid w:val="00C51073"/>
    <w:rsid w:val="00C51D56"/>
    <w:rsid w:val="00C818C2"/>
    <w:rsid w:val="00CA521D"/>
    <w:rsid w:val="00CB7968"/>
    <w:rsid w:val="00CC0DE6"/>
    <w:rsid w:val="00CC475D"/>
    <w:rsid w:val="00CF1A4C"/>
    <w:rsid w:val="00CF1B9C"/>
    <w:rsid w:val="00D27B1A"/>
    <w:rsid w:val="00D42318"/>
    <w:rsid w:val="00DD10E9"/>
    <w:rsid w:val="00DF2255"/>
    <w:rsid w:val="00DF4A3A"/>
    <w:rsid w:val="00DF7674"/>
    <w:rsid w:val="00E02966"/>
    <w:rsid w:val="00E16429"/>
    <w:rsid w:val="00E34F84"/>
    <w:rsid w:val="00E36200"/>
    <w:rsid w:val="00E721FE"/>
    <w:rsid w:val="00E77746"/>
    <w:rsid w:val="00E841F2"/>
    <w:rsid w:val="00E8552B"/>
    <w:rsid w:val="00E90409"/>
    <w:rsid w:val="00E944F9"/>
    <w:rsid w:val="00EA3FF3"/>
    <w:rsid w:val="00EF019E"/>
    <w:rsid w:val="00EF7F7F"/>
    <w:rsid w:val="00EF7FA0"/>
    <w:rsid w:val="00F01974"/>
    <w:rsid w:val="00F3374D"/>
    <w:rsid w:val="00F34396"/>
    <w:rsid w:val="00F70FD3"/>
    <w:rsid w:val="00F9323C"/>
    <w:rsid w:val="00FC40E0"/>
    <w:rsid w:val="00FC444C"/>
    <w:rsid w:val="00FF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CC882B"/>
  <w15:docId w15:val="{7122DF95-BD53-4F73-8EB3-07CEE4A34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7FA0"/>
    <w:pPr>
      <w:spacing w:before="100" w:beforeAutospacing="1" w:after="100" w:afterAutospacing="1" w:line="240" w:lineRule="auto"/>
      <w:ind w:firstLine="567"/>
      <w:jc w:val="both"/>
    </w:pPr>
    <w:rPr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F7FA0"/>
    <w:pPr>
      <w:keepNext/>
      <w:keepLines/>
      <w:pageBreakBefore/>
      <w:shd w:val="clear" w:color="auto" w:fill="BFBFBF" w:themeFill="background1" w:themeFillShade="BF"/>
      <w:ind w:firstLine="0"/>
      <w:outlineLvl w:val="0"/>
    </w:pPr>
    <w:rPr>
      <w:rFonts w:ascii="Calibri" w:eastAsiaTheme="majorEastAsia" w:hAnsi="Calibri" w:cstheme="majorBid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F7FA0"/>
    <w:pPr>
      <w:keepNext/>
      <w:keepLines/>
      <w:shd w:val="clear" w:color="auto" w:fill="D9D9D9" w:themeFill="background1" w:themeFillShade="D9"/>
      <w:ind w:firstLine="0"/>
      <w:outlineLvl w:val="1"/>
    </w:pPr>
    <w:rPr>
      <w:rFonts w:ascii="Calibri" w:eastAsiaTheme="majorEastAsia" w:hAnsi="Calibri" w:cstheme="majorBidi"/>
      <w:b/>
      <w:bCs/>
      <w:sz w:val="22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F7FA0"/>
    <w:pPr>
      <w:keepNext/>
      <w:keepLines/>
      <w:shd w:val="clear" w:color="auto" w:fill="F2F2F2" w:themeFill="background1" w:themeFillShade="F2"/>
      <w:ind w:firstLine="0"/>
      <w:outlineLvl w:val="2"/>
    </w:pPr>
    <w:rPr>
      <w:rFonts w:eastAsia="GillSansMT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7FA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7FA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F7FA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F7FA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F7FA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F7FA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4E4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54E44"/>
  </w:style>
  <w:style w:type="paragraph" w:styleId="Stopka">
    <w:name w:val="footer"/>
    <w:basedOn w:val="Normalny"/>
    <w:link w:val="StopkaZnak"/>
    <w:uiPriority w:val="99"/>
    <w:unhideWhenUsed/>
    <w:rsid w:val="00754E4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54E44"/>
  </w:style>
  <w:style w:type="character" w:customStyle="1" w:styleId="Nagwek1Znak">
    <w:name w:val="Nagłówek 1 Znak"/>
    <w:basedOn w:val="Domylnaczcionkaakapitu"/>
    <w:link w:val="Nagwek1"/>
    <w:uiPriority w:val="9"/>
    <w:rsid w:val="00EF7FA0"/>
    <w:rPr>
      <w:rFonts w:ascii="Calibri" w:eastAsiaTheme="majorEastAsia" w:hAnsi="Calibri" w:cstheme="majorBidi"/>
      <w:b/>
      <w:bCs/>
      <w:sz w:val="24"/>
      <w:szCs w:val="28"/>
      <w:shd w:val="clear" w:color="auto" w:fill="BFBFBF" w:themeFill="background1" w:themeFillShade="BF"/>
    </w:rPr>
  </w:style>
  <w:style w:type="character" w:customStyle="1" w:styleId="Nagwek2Znak">
    <w:name w:val="Nagłówek 2 Znak"/>
    <w:basedOn w:val="Domylnaczcionkaakapitu"/>
    <w:link w:val="Nagwek2"/>
    <w:uiPriority w:val="9"/>
    <w:rsid w:val="00EF7FA0"/>
    <w:rPr>
      <w:rFonts w:ascii="Calibri" w:eastAsiaTheme="majorEastAsia" w:hAnsi="Calibri" w:cstheme="majorBidi"/>
      <w:b/>
      <w:bCs/>
      <w:szCs w:val="26"/>
      <w:shd w:val="clear" w:color="auto" w:fill="D9D9D9" w:themeFill="background1" w:themeFillShade="D9"/>
    </w:rPr>
  </w:style>
  <w:style w:type="paragraph" w:styleId="Akapitzlist">
    <w:name w:val="List Paragraph"/>
    <w:basedOn w:val="Normalny"/>
    <w:uiPriority w:val="34"/>
    <w:qFormat/>
    <w:rsid w:val="00EF7FA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F7674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7674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EF7FA0"/>
    <w:rPr>
      <w:rFonts w:eastAsia="GillSansMT" w:cstheme="majorBidi"/>
      <w:b/>
      <w:bCs/>
      <w:sz w:val="20"/>
      <w:shd w:val="clear" w:color="auto" w:fill="F2F2F2" w:themeFill="background1" w:themeFillShade="F2"/>
    </w:rPr>
  </w:style>
  <w:style w:type="paragraph" w:styleId="Tytu">
    <w:name w:val="Title"/>
    <w:basedOn w:val="Normalny"/>
    <w:next w:val="Normalny"/>
    <w:link w:val="TytuZnak"/>
    <w:uiPriority w:val="10"/>
    <w:qFormat/>
    <w:rsid w:val="00EF7FA0"/>
    <w:pPr>
      <w:spacing w:before="0" w:after="300" w:line="360" w:lineRule="auto"/>
      <w:contextualSpacing/>
      <w:jc w:val="center"/>
    </w:pPr>
    <w:rPr>
      <w:rFonts w:eastAsiaTheme="majorEastAsia" w:cstheme="majorBidi"/>
      <w:b/>
      <w:spacing w:val="5"/>
      <w:kern w:val="28"/>
      <w:sz w:val="40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F7FA0"/>
    <w:rPr>
      <w:rFonts w:eastAsiaTheme="majorEastAsia" w:cstheme="majorBidi"/>
      <w:b/>
      <w:spacing w:val="5"/>
      <w:kern w:val="28"/>
      <w:sz w:val="40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7FA0"/>
    <w:pPr>
      <w:numPr>
        <w:ilvl w:val="1"/>
      </w:numPr>
      <w:pBdr>
        <w:bottom w:val="single" w:sz="8" w:space="1" w:color="000000" w:themeColor="text1"/>
      </w:pBdr>
      <w:ind w:firstLine="567"/>
      <w:jc w:val="center"/>
    </w:pPr>
    <w:rPr>
      <w:rFonts w:eastAsiaTheme="majorEastAsia" w:cstheme="majorBidi"/>
      <w:i/>
      <w:iCs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F7FA0"/>
    <w:rPr>
      <w:rFonts w:eastAsiaTheme="majorEastAsia" w:cstheme="majorBidi"/>
      <w:i/>
      <w:iCs/>
      <w:sz w:val="20"/>
      <w:szCs w:val="24"/>
    </w:rPr>
  </w:style>
  <w:style w:type="character" w:styleId="Wyrnieniedelikatne">
    <w:name w:val="Subtle Emphasis"/>
    <w:basedOn w:val="Domylnaczcionkaakapitu"/>
    <w:uiPriority w:val="19"/>
    <w:qFormat/>
    <w:rsid w:val="00EF7FA0"/>
    <w:rPr>
      <w:rFonts w:asciiTheme="minorHAnsi" w:hAnsiTheme="minorHAnsi"/>
      <w:i/>
      <w:iCs/>
      <w:color w:val="auto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F7FA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paragraph" w:styleId="Bezodstpw">
    <w:name w:val="No Spacing"/>
    <w:link w:val="BezodstpwZnak"/>
    <w:uiPriority w:val="1"/>
    <w:qFormat/>
    <w:rsid w:val="00EF7FA0"/>
    <w:pPr>
      <w:spacing w:beforeAutospacing="1" w:after="0" w:afterAutospacing="1" w:line="240" w:lineRule="auto"/>
      <w:ind w:firstLine="567"/>
      <w:jc w:val="both"/>
    </w:pPr>
    <w:rPr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F7FA0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F7FA0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F7FA0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F7FA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F7FA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F7FA0"/>
    <w:pPr>
      <w:spacing w:before="0" w:after="200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uiPriority w:val="22"/>
    <w:qFormat/>
    <w:rsid w:val="00EF7FA0"/>
    <w:rPr>
      <w:b/>
      <w:bCs/>
    </w:rPr>
  </w:style>
  <w:style w:type="character" w:styleId="Uwydatnienie">
    <w:name w:val="Emphasis"/>
    <w:uiPriority w:val="20"/>
    <w:qFormat/>
    <w:rsid w:val="00EF7FA0"/>
    <w:rPr>
      <w:i/>
      <w:iCs/>
    </w:rPr>
  </w:style>
  <w:style w:type="character" w:customStyle="1" w:styleId="BezodstpwZnak">
    <w:name w:val="Bez odstępów Znak"/>
    <w:basedOn w:val="Domylnaczcionkaakapitu"/>
    <w:link w:val="Bezodstpw"/>
    <w:uiPriority w:val="1"/>
    <w:rsid w:val="00EF7FA0"/>
    <w:rPr>
      <w:sz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EF7FA0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EF7FA0"/>
    <w:rPr>
      <w:i/>
      <w:iCs/>
      <w:color w:val="000000" w:themeColor="text1"/>
      <w:sz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F7FA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F7FA0"/>
    <w:rPr>
      <w:b/>
      <w:bCs/>
      <w:i/>
      <w:iCs/>
      <w:color w:val="4F81BD" w:themeColor="accent1"/>
      <w:sz w:val="20"/>
    </w:rPr>
  </w:style>
  <w:style w:type="character" w:styleId="Wyrnienieintensywne">
    <w:name w:val="Intense Emphasis"/>
    <w:uiPriority w:val="21"/>
    <w:qFormat/>
    <w:rsid w:val="00EF7FA0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EF7FA0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EF7FA0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EF7FA0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F7FA0"/>
    <w:pPr>
      <w:pageBreakBefore w:val="0"/>
      <w:shd w:val="clear" w:color="auto" w:fill="auto"/>
      <w:spacing w:before="480" w:after="0" w:line="276" w:lineRule="auto"/>
      <w:ind w:firstLine="567"/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customStyle="1" w:styleId="Standard">
    <w:name w:val="Standard"/>
    <w:rsid w:val="00D27B1A"/>
    <w:pPr>
      <w:suppressAutoHyphens/>
      <w:autoSpaceDN w:val="0"/>
      <w:spacing w:after="160" w:line="256" w:lineRule="auto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6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468</Words>
  <Characters>2811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67</vt:i4>
      </vt:variant>
    </vt:vector>
  </HeadingPairs>
  <TitlesOfParts>
    <vt:vector size="68" baseType="lpstr">
      <vt:lpstr/>
      <vt:lpstr>1. WSTĘP</vt:lpstr>
      <vt:lpstr>    1.1. Przedmiot ST</vt:lpstr>
      <vt:lpstr>    1.2. Zakres stosowania ST</vt:lpstr>
      <vt:lpstr>    1.3. Zakres robót objętych ST</vt:lpstr>
      <vt:lpstr>    1.4. Określenia podstawowe</vt:lpstr>
      <vt:lpstr>    1.5. Ogólne wymagania dotyczące robót</vt:lpstr>
      <vt:lpstr>    1.5.1. Przekazanie terenu budowy</vt:lpstr>
      <vt:lpstr>    1.5.2. Dokumentacja projektowa</vt:lpstr>
      <vt:lpstr>    1.5.3. Zgodność robot z dokumentacją projektową i SST</vt:lpstr>
      <vt:lpstr>        1.5.4. Zabezpieczenie terenu budowy</vt:lpstr>
      <vt:lpstr>        1.5.5. Ochrona środowiska w czasie wykonywania robot</vt:lpstr>
      <vt:lpstr>    1.5.6. Ochrona przeciwpożarowa</vt:lpstr>
      <vt:lpstr>        1.5.7. Ochrona własności publicznej i prywatnej</vt:lpstr>
      <vt:lpstr>        1.5.8. Ograniczenie obciążeń osi pojazdów</vt:lpstr>
      <vt:lpstr>        1.5.9. Bezpieczeństwo i higiena pracy</vt:lpstr>
      <vt:lpstr>        1.5.10. Ochrona i utrzymanie robot</vt:lpstr>
      <vt:lpstr>        1.5.11. Stosowanie się do prawa i innych przepisów</vt:lpstr>
      <vt:lpstr>2. MATERIAŁY</vt:lpstr>
      <vt:lpstr>    2.1. Źródła uzyskania materiałów do elementów konstrukcyjnych</vt:lpstr>
      <vt:lpstr>    2.2. Pozyskiwanie masowych materiałów pochodzenia miejscowego</vt:lpstr>
      <vt:lpstr>    2.3. Materiały nieodpowiadające wymaganiom jakościowym</vt:lpstr>
      <vt:lpstr>    2.4. Przechowywanie i składowanie materiałów</vt:lpstr>
      <vt:lpstr>    2.5. Wariantowe stosowanie materiałów</vt:lpstr>
      <vt:lpstr>3. SPRZĘT</vt:lpstr>
      <vt:lpstr>4. TRANSPORT</vt:lpstr>
      <vt:lpstr>    4.1. Ogólne wymagania dotyczące transportu</vt:lpstr>
      <vt:lpstr>    4.2. Wymagania dotyczące przewozu po drogach publicznych</vt:lpstr>
      <vt:lpstr>5. WYKONANIE ROBÓT</vt:lpstr>
      <vt:lpstr>    5.1. Przed rozpoczęciem robót wykonawca opracuje:</vt:lpstr>
      <vt:lpstr>6. KONTROLA JAKOŚCI ROBÓT</vt:lpstr>
      <vt:lpstr>    6.1. Program zapewnienia jakości</vt:lpstr>
      <vt:lpstr>6.2. Zasady kontroli jakości robót</vt:lpstr>
      <vt:lpstr>    6.3. Pobieranie próbek</vt:lpstr>
      <vt:lpstr>    6.4. Badania i pomiary</vt:lpstr>
      <vt:lpstr>    6.5. Raporty z badań</vt:lpstr>
      <vt:lpstr>    6.6. Badania prowadzone przez Inspektora nadzoru</vt:lpstr>
      <vt:lpstr>    6.7. Certyfikaty i deklaracje</vt:lpstr>
      <vt:lpstr>    6.8. Dokumenty budowy</vt:lpstr>
      <vt:lpstr>    6.8.1 Dziennik budowy</vt:lpstr>
      <vt:lpstr>    6.8.2 Książka obmiarów</vt:lpstr>
      <vt:lpstr>    6.8.3 Dokumenty laboratoryjne</vt:lpstr>
      <vt:lpstr>    6.8.4 Pozostałe dokumenty budowy</vt:lpstr>
      <vt:lpstr>    6.8.5 Przechowywanie dokumentów budowy</vt:lpstr>
      <vt:lpstr>7. OBMIAR ROBÓT</vt:lpstr>
      <vt:lpstr>    7.1. Ogólne zasady obmiaru robót</vt:lpstr>
      <vt:lpstr>    7.2. Zasady określania ilości robót i materiałów</vt:lpstr>
      <vt:lpstr>    7.3. Urządzenia i sprzęt pomiarowy</vt:lpstr>
      <vt:lpstr>    7.4. Wagi i zasady wdrażania</vt:lpstr>
      <vt:lpstr>8. ODBIÓR ROBÓT </vt:lpstr>
      <vt:lpstr>    8.1. Rodzaje odbiorów robót</vt:lpstr>
      <vt:lpstr>    8.2. Odbiór robót zanikających i ulegających zakryciu</vt:lpstr>
      <vt:lpstr>    8.3. Odbiór częściowy</vt:lpstr>
      <vt:lpstr>    8.4. Odbiór ostateczny (końcowy)</vt:lpstr>
      <vt:lpstr>        8.4.1. Zasady odbioru ostatecznego robot</vt:lpstr>
      <vt:lpstr>        8.4.2. Dokumenty do odbioru ostatecznego (końcowe)</vt:lpstr>
      <vt:lpstr>    8.5. Odbiór pogwarancyjny po upływie okresu rękojmi i gwarancji</vt:lpstr>
      <vt:lpstr>9. PODSTAWA PŁATNOŚCI</vt:lpstr>
      <vt:lpstr>    9.1. Ustalenia ogólne</vt:lpstr>
      <vt:lpstr>9.2. Objazdy, przejazdy i organizacja ruchu</vt:lpstr>
      <vt:lpstr>        9.2.1. Koszt wybudowania objazdów/przejazdów i organizacji ruchu obejmuje:</vt:lpstr>
      <vt:lpstr>        9.2.2. Koszt utrzymania objazdów/przejazdów i organizacji ruchu obejmuje:</vt:lpstr>
      <vt:lpstr>        9.2.3. Koszt likwidacji objazdów/przejazdów i organizacji ruchu obejmuje:</vt:lpstr>
      <vt:lpstr>        9.2.4. Koszt budowy, utrzymania i likwidacji objazdów, przejazdów i organizacji </vt:lpstr>
      <vt:lpstr>10. PRZEPISY ZWIĄZANE</vt:lpstr>
      <vt:lpstr>    10.1. Ustawy</vt:lpstr>
      <vt:lpstr>    10.2. Rozporządzenia</vt:lpstr>
      <vt:lpstr>    10.3. Inne dokumenty i instrukcje</vt:lpstr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Kot</dc:creator>
  <cp:lastModifiedBy>Szymon</cp:lastModifiedBy>
  <cp:revision>7</cp:revision>
  <cp:lastPrinted>2021-03-03T16:19:00Z</cp:lastPrinted>
  <dcterms:created xsi:type="dcterms:W3CDTF">2021-03-03T16:08:00Z</dcterms:created>
  <dcterms:modified xsi:type="dcterms:W3CDTF">2021-12-13T09:55:00Z</dcterms:modified>
</cp:coreProperties>
</file>